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0"/>
        <w:rPr>
          <w:lang w:val="en-US" w:eastAsia="zh-CN"/>
        </w:rPr>
      </w:pPr>
      <w:bookmarkStart w:id="0" w:name="Untertitel"/>
      <w:r>
        <w:rPr>
          <w:rFonts w:hint="eastAsia"/>
          <w:lang w:val="en-US" w:eastAsia="zh-CN"/>
        </w:rPr>
        <w:t>新闻稿</w:t>
      </w:r>
    </w:p>
    <w:p>
      <w:pPr>
        <w:pStyle w:val="65"/>
        <w:rPr>
          <w:lang w:val="en-US"/>
        </w:rPr>
      </w:pPr>
      <w:r>
        <w:rPr>
          <w:lang w:eastAsia="de-DE"/>
        </w:rPr>
        <mc:AlternateContent>
          <mc:Choice Requires="wps">
            <w:drawing>
              <wp:inline distT="0" distB="0" distL="0" distR="0">
                <wp:extent cx="493141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id="Gerade Verbindung 11" o:spid="_x0000_s1026" o:spt="20" style="height:0pt;width:388.3pt;" filled="f" stroked="t" coordsize="21600,21600" o:gfxdata="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A+r1+L0AAAAAIBAAAPAAAAAAAAAAEAIAAAACIAAABkcnMv&#10;ZG93bnJldi54bWxQSwECFAAUAAAACACHTuJA8x7twdIBAAC1AwAADgAAAAAAAAABACAAAAAfAQAA&#10;ZHJzL2Uyb0RvYy54bWxQSwUGAAAAAAYABgBZAQAAYwUAAAAA&#10;">
                <v:fill on="f" focussize="0,0"/>
                <v:stroke weight="0.5pt" color="#000000 [3204]" miterlimit="8" joinstyle="miter"/>
                <v:imagedata o:title=""/>
                <o:lock v:ext="edit" aspectratio="f"/>
                <w10:wrap type="none"/>
                <w10:anchorlock/>
              </v:line>
            </w:pict>
          </mc:Fallback>
        </mc:AlternateContent>
      </w:r>
    </w:p>
    <w:bookmarkEnd w:id="0"/>
    <w:p>
      <w:pPr>
        <w:spacing w:line="360" w:lineRule="auto"/>
        <w:jc w:val="both"/>
        <w:rPr>
          <w:b/>
          <w:sz w:val="20"/>
          <w:szCs w:val="30"/>
          <w:lang w:val="en-US" w:eastAsia="zh-CN"/>
        </w:rPr>
      </w:pPr>
      <w:r>
        <w:rPr>
          <w:rFonts w:hint="eastAsia"/>
          <w:b/>
          <w:sz w:val="20"/>
          <w:szCs w:val="30"/>
          <w:lang w:val="en-US" w:eastAsia="zh-CN"/>
        </w:rPr>
        <w:t>A</w:t>
      </w:r>
      <w:r>
        <w:rPr>
          <w:b/>
          <w:sz w:val="20"/>
          <w:szCs w:val="30"/>
          <w:lang w:val="en-US" w:eastAsia="zh-CN"/>
        </w:rPr>
        <w:t>GV</w:t>
      </w:r>
      <w:r>
        <w:rPr>
          <w:rFonts w:hint="eastAsia"/>
          <w:b/>
          <w:sz w:val="20"/>
          <w:szCs w:val="30"/>
          <w:lang w:val="en-US" w:eastAsia="zh-CN"/>
        </w:rPr>
        <w:t>首次应用于卡车驾驶室涂装车间</w:t>
      </w:r>
    </w:p>
    <w:p>
      <w:pPr>
        <w:rPr>
          <w:lang w:val="en-US" w:eastAsia="zh-CN"/>
        </w:rPr>
      </w:pPr>
    </w:p>
    <w:p>
      <w:pPr>
        <w:pStyle w:val="43"/>
        <w:rPr>
          <w:lang w:val="en-US" w:eastAsia="zh-CN"/>
        </w:rPr>
      </w:pPr>
      <w:r>
        <w:rPr>
          <w:rFonts w:hint="eastAsia"/>
          <w:lang w:val="en-US" w:eastAsia="zh-CN"/>
        </w:rPr>
        <w:t>杜尔为中国重汽打造两个高水平涂装车间</w:t>
      </w:r>
    </w:p>
    <w:p>
      <w:pPr>
        <w:pStyle w:val="4"/>
        <w:rPr>
          <w:lang w:val="en-US" w:eastAsia="zh-CN"/>
        </w:rPr>
      </w:pPr>
      <w:r>
        <w:rPr>
          <w:rFonts w:hint="eastAsia"/>
          <w:b/>
          <w:bCs/>
          <w:lang w:val="en-US" w:eastAsia="zh-CN"/>
        </w:rPr>
        <w:t>比蒂希海姆-比辛根, 2021年10月19日</w:t>
      </w:r>
      <w:r>
        <w:rPr>
          <w:b/>
          <w:bCs/>
          <w:lang w:val="en-US" w:eastAsia="zh-CN"/>
        </w:rPr>
        <w:t xml:space="preserve"> </w:t>
      </w:r>
      <w:r>
        <w:rPr>
          <w:rFonts w:hint="eastAsia"/>
          <w:b/>
          <w:bCs/>
          <w:lang w:val="en-US" w:eastAsia="zh-CN"/>
        </w:rPr>
        <w:t>-</w:t>
      </w:r>
      <w:r>
        <w:rPr>
          <w:b/>
          <w:bCs/>
          <w:lang w:val="en-US" w:eastAsia="zh-CN"/>
        </w:rPr>
        <w:t xml:space="preserve"> </w:t>
      </w:r>
      <w:r>
        <w:rPr>
          <w:rFonts w:hint="eastAsia"/>
          <w:lang w:eastAsia="zh-CN"/>
        </w:rPr>
        <w:t>在全球最大的商用车市场中国，杜尔正在为重型卡车领先制造商——中国重型汽车集团有限公司（以下简称“中国重汽”）建造两个先进的涂装车间。建成后</w:t>
      </w:r>
      <w:r>
        <w:rPr>
          <w:rFonts w:hint="eastAsia"/>
          <w:lang w:val="en-US" w:eastAsia="zh-CN"/>
        </w:rPr>
        <w:t>，车间将用于中国重汽高端品牌的卡车驾驶室涂装，能有效地提升表面质量，合理利用资源，并实现成本效益。</w:t>
      </w:r>
    </w:p>
    <w:p>
      <w:pPr>
        <w:pStyle w:val="4"/>
        <w:rPr>
          <w:lang w:val="en-US" w:eastAsia="zh-CN"/>
        </w:rPr>
      </w:pPr>
    </w:p>
    <w:p>
      <w:pPr>
        <w:pStyle w:val="4"/>
        <w:rPr>
          <w:lang w:val="en-US" w:eastAsia="zh-CN"/>
        </w:rPr>
      </w:pPr>
      <w:r>
        <w:rPr>
          <w:rFonts w:hint="eastAsia"/>
          <w:lang w:val="en-US" w:eastAsia="zh-CN"/>
        </w:rPr>
        <w:t>这两个涂装车间将分别供山东莱芜的中国重汽子公司济南卡车股份有限公司和山东章丘的济南商用车有限公司使用，目前仍在建设中。未来，包括黄河、汕德卡和豪沃等旗舰产品在内的各型号卡车和其他商用车的驾驶室将在这两个车间完成涂装。中国重汽期望借助这些高品质产品，迈入世界级制造商行列。</w:t>
      </w:r>
    </w:p>
    <w:p>
      <w:pPr>
        <w:pStyle w:val="4"/>
        <w:rPr>
          <w:lang w:val="en-US" w:eastAsia="zh-CN"/>
        </w:rPr>
      </w:pPr>
    </w:p>
    <w:p>
      <w:pPr>
        <w:pStyle w:val="4"/>
        <w:rPr>
          <w:b/>
          <w:bCs/>
          <w:lang w:val="en-US" w:eastAsia="zh-CN"/>
        </w:rPr>
      </w:pPr>
      <w:r>
        <w:rPr>
          <w:rFonts w:hint="eastAsia"/>
          <w:b/>
          <w:bCs/>
          <w:lang w:val="en-US" w:eastAsia="zh-CN"/>
        </w:rPr>
        <w:t>使用自动导引车的柔性输送技术</w:t>
      </w:r>
    </w:p>
    <w:p>
      <w:pPr>
        <w:pStyle w:val="13"/>
        <w:rPr>
          <w:lang w:val="en-US" w:eastAsia="zh-CN"/>
        </w:rPr>
      </w:pPr>
      <w:r>
        <w:rPr>
          <w:b/>
          <w:bCs/>
          <w:sz w:val="22"/>
          <w:szCs w:val="24"/>
          <w:lang w:val="en-US" w:eastAsia="zh-CN"/>
        </w:rPr>
        <w:t>Eco</w:t>
      </w:r>
      <w:r>
        <w:rPr>
          <w:sz w:val="22"/>
          <w:szCs w:val="24"/>
          <w:lang w:val="en-US" w:eastAsia="zh-CN"/>
        </w:rPr>
        <w:t>ProFleet</w:t>
      </w:r>
      <w:r>
        <w:rPr>
          <w:rFonts w:hint="eastAsia"/>
          <w:sz w:val="22"/>
          <w:szCs w:val="24"/>
          <w:lang w:val="en-US" w:eastAsia="zh-CN"/>
        </w:rPr>
        <w:t>是杜尔专为涂装车间开发的自动导引车（</w:t>
      </w:r>
      <w:r>
        <w:rPr>
          <w:sz w:val="22"/>
          <w:szCs w:val="24"/>
          <w:lang w:val="en-US" w:eastAsia="zh-CN"/>
        </w:rPr>
        <w:t>AGV</w:t>
      </w:r>
      <w:r>
        <w:rPr>
          <w:rFonts w:hint="eastAsia"/>
          <w:sz w:val="22"/>
          <w:szCs w:val="24"/>
          <w:lang w:val="en-US" w:eastAsia="zh-CN"/>
        </w:rPr>
        <w:t>），是柔性工厂布局的一个重要构建模块，目前已用于乘用车生产。中国重汽首次将这种柔性输送技术应用在卡车驾驶室涂装车间，有助于未来工厂扩建或增加新车型。为了稳定地运送重物，</w:t>
      </w:r>
      <w:r>
        <w:rPr>
          <w:b/>
          <w:bCs/>
          <w:sz w:val="22"/>
          <w:szCs w:val="24"/>
          <w:lang w:val="en-US" w:eastAsia="zh-CN"/>
        </w:rPr>
        <w:t>Eco</w:t>
      </w:r>
      <w:r>
        <w:rPr>
          <w:rFonts w:hint="eastAsia"/>
          <w:sz w:val="22"/>
          <w:szCs w:val="24"/>
          <w:lang w:val="en-US" w:eastAsia="zh-CN"/>
        </w:rPr>
        <w:t>ProFleet自重达850千克，设计比例良好，最大载重能力为1000公斤。DXQcontrol软件</w:t>
      </w:r>
      <w:r>
        <w:rPr>
          <w:rFonts w:hint="eastAsia"/>
          <w:lang w:val="en-US" w:eastAsia="zh-CN"/>
        </w:rPr>
        <w:t>对A</w:t>
      </w:r>
      <w:r>
        <w:rPr>
          <w:lang w:val="en-US" w:eastAsia="zh-CN"/>
        </w:rPr>
        <w:t>GV</w:t>
      </w:r>
      <w:r>
        <w:rPr>
          <w:rFonts w:hint="eastAsia"/>
          <w:lang w:val="en-US" w:eastAsia="zh-CN"/>
        </w:rPr>
        <w:t>车队进行</w:t>
      </w:r>
      <w:r>
        <w:rPr>
          <w:rFonts w:hint="eastAsia"/>
          <w:sz w:val="22"/>
          <w:szCs w:val="24"/>
          <w:lang w:val="en-US" w:eastAsia="zh-CN"/>
        </w:rPr>
        <w:t>智能控制，确保所有AGV执行各自的运输任务，并长期处于运转状态。AGV储能采用了超级电容（Supercap）技术</w:t>
      </w:r>
      <w:r>
        <w:rPr>
          <w:rFonts w:hint="eastAsia"/>
          <w:lang w:val="en-US" w:eastAsia="zh-CN"/>
        </w:rPr>
        <w:t>，</w:t>
      </w:r>
      <w:r>
        <w:rPr>
          <w:rFonts w:hint="eastAsia"/>
          <w:sz w:val="22"/>
          <w:szCs w:val="24"/>
          <w:lang w:val="en-US" w:eastAsia="zh-CN"/>
        </w:rPr>
        <w:t>只需1.5分钟就可以</w:t>
      </w:r>
      <w:r>
        <w:rPr>
          <w:rFonts w:hint="eastAsia"/>
          <w:lang w:val="en-US" w:eastAsia="zh-CN"/>
        </w:rPr>
        <w:t>在充电点</w:t>
      </w:r>
      <w:r>
        <w:rPr>
          <w:rFonts w:hint="eastAsia"/>
          <w:sz w:val="22"/>
          <w:szCs w:val="24"/>
          <w:lang w:val="en-US" w:eastAsia="zh-CN"/>
        </w:rPr>
        <w:t>完成充电</w:t>
      </w:r>
      <w:r>
        <w:rPr>
          <w:rFonts w:hint="eastAsia"/>
          <w:lang w:val="en-US" w:eastAsia="zh-CN"/>
        </w:rPr>
        <w:t>。这些充电点设置在A</w:t>
      </w:r>
      <w:r>
        <w:rPr>
          <w:lang w:val="en-US" w:eastAsia="zh-CN"/>
        </w:rPr>
        <w:t>GV</w:t>
      </w:r>
      <w:r>
        <w:rPr>
          <w:rFonts w:hint="eastAsia"/>
          <w:lang w:val="en-US" w:eastAsia="zh-CN"/>
        </w:rPr>
        <w:t>无论如何都需要停下来以便装载或放下车身的地方。</w:t>
      </w:r>
      <w:r>
        <w:rPr>
          <w:rFonts w:hint="eastAsia"/>
          <w:sz w:val="22"/>
          <w:szCs w:val="24"/>
          <w:lang w:val="en-US" w:eastAsia="zh-CN"/>
        </w:rPr>
        <w:t>。</w:t>
      </w:r>
    </w:p>
    <w:p>
      <w:pPr>
        <w:pStyle w:val="4"/>
        <w:rPr>
          <w:lang w:val="en-US" w:eastAsia="zh-CN"/>
        </w:rPr>
      </w:pPr>
    </w:p>
    <w:p>
      <w:pPr>
        <w:pStyle w:val="4"/>
        <w:rPr>
          <w:b/>
          <w:bCs/>
          <w:lang w:val="en-US" w:eastAsia="zh-CN"/>
        </w:rPr>
      </w:pPr>
      <w:r>
        <w:rPr>
          <w:rFonts w:hint="eastAsia"/>
          <w:b/>
          <w:bCs/>
          <w:lang w:val="en-US" w:eastAsia="zh-CN"/>
        </w:rPr>
        <w:t>可在PT/EC领域提升能效</w:t>
      </w:r>
    </w:p>
    <w:p>
      <w:pPr>
        <w:pStyle w:val="4"/>
        <w:rPr>
          <w:lang w:val="en-US" w:eastAsia="zh-CN"/>
        </w:rPr>
      </w:pPr>
      <w:r>
        <w:rPr>
          <w:rFonts w:hint="eastAsia"/>
          <w:lang w:val="en-US" w:eastAsia="zh-CN"/>
        </w:rPr>
        <w:t>涂装开始时，RoDip®旋转浸涂工艺为后续工序提供了绝佳的前提条件。电驱动RoDip® E允许前处理（PT）和电泳（EC）的单独浸渍曲线，因此在处理不同型号的驾驶室时，可以优化涂层质量。通过这种方法，每辆驾驶室都是通过一个可自由编程的小车来完成整个PT和EC过程。每个自由可编程的小车不仅配有输送驱动，还配有单独的旋转驱动装置，这使得每个驾驶室的水平运动和旋转运动都可以独立控制。与采用摆杆输送机相比，采用RoDip®技术所需的浸涂槽容量更小，这也意味着所需能源和化学物质更少。这项技术的应用将提高能源效率并节省运营成本。</w:t>
      </w:r>
    </w:p>
    <w:p>
      <w:pPr>
        <w:spacing w:line="276" w:lineRule="auto"/>
        <w:jc w:val="both"/>
        <w:rPr>
          <w:lang w:val="en-US" w:eastAsia="zh-CN"/>
        </w:rPr>
      </w:pPr>
    </w:p>
    <w:p>
      <w:pPr>
        <w:pStyle w:val="4"/>
        <w:rPr>
          <w:b/>
          <w:bCs/>
          <w:lang w:val="en-US" w:eastAsia="zh-CN"/>
        </w:rPr>
      </w:pPr>
      <w:r>
        <w:rPr>
          <w:rFonts w:hint="eastAsia"/>
          <w:b/>
          <w:bCs/>
          <w:lang w:val="en-US" w:eastAsia="zh-CN"/>
        </w:rPr>
        <w:t>全自动化和可持续的应用</w:t>
      </w:r>
    </w:p>
    <w:p>
      <w:pPr>
        <w:pStyle w:val="4"/>
        <w:rPr>
          <w:lang w:val="en-US" w:eastAsia="zh-CN"/>
        </w:rPr>
      </w:pPr>
      <w:r>
        <w:rPr>
          <w:rFonts w:hint="eastAsia"/>
          <w:lang w:val="en-US" w:eastAsia="zh-CN"/>
        </w:rPr>
        <w:t>为了实现高质量和高效率的喷涂，中国重汽的两个涂装车间采用了杜尔最新的机器人技术。每个涂装车间都配备有两台杜尔的密封机器人</w:t>
      </w:r>
      <w:r>
        <w:rPr>
          <w:b/>
          <w:bCs/>
          <w:lang w:val="en-US" w:eastAsia="zh-CN"/>
        </w:rPr>
        <w:t>Eco</w:t>
      </w:r>
      <w:r>
        <w:rPr>
          <w:rFonts w:hint="eastAsia"/>
          <w:lang w:val="en-US" w:eastAsia="zh-CN"/>
        </w:rPr>
        <w:t>RS来对内部接缝进行密封，还有两台机器人以全自动的方式涂抹液体消音剂。此外，每个涂装车间的色漆和清漆是由19台最新一代的</w:t>
      </w:r>
      <w:r>
        <w:rPr>
          <w:b/>
          <w:bCs/>
          <w:lang w:val="en-US" w:eastAsia="zh-CN"/>
        </w:rPr>
        <w:t>Eco</w:t>
      </w:r>
      <w:r>
        <w:rPr>
          <w:rFonts w:hint="eastAsia"/>
          <w:lang w:val="en-US" w:eastAsia="zh-CN"/>
        </w:rPr>
        <w:t>RP涂装机器人来完成的，这些机器人配备了</w:t>
      </w:r>
      <w:r>
        <w:rPr>
          <w:b/>
          <w:bCs/>
          <w:lang w:val="en-US" w:eastAsia="zh-CN"/>
        </w:rPr>
        <w:t>Eco</w:t>
      </w:r>
      <w:r>
        <w:rPr>
          <w:rFonts w:hint="eastAsia"/>
          <w:lang w:val="en-US" w:eastAsia="zh-CN"/>
        </w:rPr>
        <w:t>Bell3高速旋转雾化器。诸多先进技术的使用将帮助中国重汽在色差和流量，尤其是均匀的膜厚方面，达到最佳喷涂效果。</w:t>
      </w:r>
    </w:p>
    <w:p>
      <w:pPr>
        <w:spacing w:line="276" w:lineRule="auto"/>
        <w:jc w:val="both"/>
        <w:rPr>
          <w:lang w:val="en-US" w:eastAsia="zh-CN"/>
        </w:rPr>
      </w:pPr>
    </w:p>
    <w:p>
      <w:pPr>
        <w:pStyle w:val="4"/>
        <w:rPr>
          <w:lang w:val="en-US" w:eastAsia="zh-CN"/>
        </w:rPr>
      </w:pPr>
      <w:r>
        <w:rPr>
          <w:rFonts w:hint="eastAsia"/>
          <w:lang w:val="en-US" w:eastAsia="zh-CN"/>
        </w:rPr>
        <w:t>同时，杜尔的应用技术对环境的影响也很小，因为静电高速旋转雾化器在材料使用方面非常高效。通过换色技术和</w:t>
      </w:r>
      <w:r>
        <w:rPr>
          <w:b/>
          <w:bCs/>
          <w:lang w:val="en-US" w:eastAsia="zh-CN"/>
        </w:rPr>
        <w:t>Eco</w:t>
      </w:r>
      <w:r>
        <w:rPr>
          <w:rFonts w:hint="eastAsia"/>
          <w:lang w:val="en-US" w:eastAsia="zh-CN"/>
        </w:rPr>
        <w:t>Bell Cleaner D2雾化器清洗装置，换色过程中的涂料损失以及清洗剂和溶剂的消耗能够降到最低，由此VOC的排放也被降到了最低。</w:t>
      </w:r>
    </w:p>
    <w:p>
      <w:pPr>
        <w:pStyle w:val="4"/>
        <w:rPr>
          <w:lang w:val="en-US" w:eastAsia="zh-CN"/>
        </w:rPr>
      </w:pPr>
    </w:p>
    <w:p>
      <w:pPr>
        <w:pStyle w:val="4"/>
        <w:rPr>
          <w:b/>
          <w:bCs/>
          <w:lang w:val="en-US" w:eastAsia="zh-CN"/>
        </w:rPr>
      </w:pPr>
      <w:r>
        <w:rPr>
          <w:rFonts w:hint="eastAsia"/>
          <w:b/>
          <w:bCs/>
          <w:lang w:val="en-US" w:eastAsia="zh-CN"/>
        </w:rPr>
        <w:t>节能环保的过喷油漆分离</w:t>
      </w:r>
    </w:p>
    <w:p>
      <w:pPr>
        <w:pStyle w:val="4"/>
        <w:rPr>
          <w:lang w:val="en-US" w:eastAsia="zh-CN"/>
        </w:rPr>
      </w:pPr>
      <w:r>
        <w:rPr>
          <w:b/>
          <w:bCs/>
          <w:lang w:val="en-US" w:eastAsia="zh-CN"/>
        </w:rPr>
        <w:t>Eco</w:t>
      </w:r>
      <w:r>
        <w:rPr>
          <w:rFonts w:hint="eastAsia"/>
          <w:lang w:val="en-US" w:eastAsia="zh-CN"/>
        </w:rPr>
        <w:t>Dry X干式分离系统是中国重汽新涂装车间使用的另一项技术，因其完全不需要水或化学物质即可进行油漆分离，在节能和经济方面都很有意义。该系统使用低成本的纸板过滤箱来有效地分离过喷油漆。此外，该技术易于操作，在生产过程中也可根据需求随时进行更换。</w:t>
      </w:r>
    </w:p>
    <w:p>
      <w:pPr>
        <w:spacing w:line="276" w:lineRule="auto"/>
        <w:jc w:val="both"/>
        <w:rPr>
          <w:lang w:val="en-US" w:eastAsia="zh-CN"/>
        </w:rPr>
      </w:pPr>
    </w:p>
    <w:p>
      <w:pPr>
        <w:pStyle w:val="4"/>
        <w:rPr>
          <w:b/>
          <w:bCs/>
          <w:lang w:val="en-US" w:eastAsia="zh-CN"/>
        </w:rPr>
      </w:pPr>
      <w:r>
        <w:rPr>
          <w:rFonts w:hint="eastAsia"/>
          <w:b/>
          <w:bCs/>
          <w:lang w:val="en-US" w:eastAsia="zh-CN"/>
        </w:rPr>
        <w:t>质量控制自动化、数字化</w:t>
      </w:r>
    </w:p>
    <w:p>
      <w:pPr>
        <w:pStyle w:val="4"/>
        <w:rPr>
          <w:sz w:val="20"/>
          <w:lang w:eastAsia="zh-CN"/>
        </w:rPr>
      </w:pPr>
    </w:p>
    <w:p>
      <w:pPr>
        <w:pStyle w:val="4"/>
        <w:rPr>
          <w:lang w:val="en-US" w:eastAsia="zh-CN"/>
        </w:rPr>
      </w:pPr>
      <w:r>
        <w:rPr>
          <w:rFonts w:hint="eastAsia"/>
          <w:lang w:val="en-US" w:eastAsia="zh-CN"/>
        </w:rPr>
        <w:t>在涂装工艺的最后，车身表面要在质量控制站进行检查。在大多数涂装车间，这是通过人工随机抽样和数据处理的方式进行的。杜尔正在为中国重汽安装一个全自动的质量控制站。在这里，机器人按照卡车驾驶室上规定的检查点，用传感器来记录有关颜色变化、表面纹理和涂层厚度的数据。与人工测量相比，这种自动化节省了时间。这些数据被传输到数据库中，并以数字形式呈现。这样一来，操作员可以时刻关注到质量问题。</w:t>
      </w:r>
    </w:p>
    <w:p>
      <w:pPr>
        <w:spacing w:line="276" w:lineRule="auto"/>
        <w:jc w:val="both"/>
        <w:rPr>
          <w:lang w:val="en-US" w:eastAsia="zh-CN"/>
        </w:rPr>
      </w:pPr>
    </w:p>
    <w:p>
      <w:pPr>
        <w:pStyle w:val="4"/>
        <w:rPr>
          <w:rFonts w:cs="Arial"/>
          <w:szCs w:val="22"/>
          <w:lang w:val="en-US" w:eastAsia="zh-CN"/>
        </w:rPr>
      </w:pPr>
      <w:bookmarkStart w:id="1" w:name="OLE_LINK1"/>
      <w:r>
        <w:rPr>
          <w:rFonts w:hint="eastAsia" w:ascii="宋体" w:hAnsi="宋体"/>
          <w:lang w:eastAsia="zh-CN"/>
        </w:rPr>
        <w:t>除了涂装工艺，下线检测技术</w:t>
      </w:r>
      <w:r>
        <w:rPr>
          <w:rFonts w:hint="eastAsia" w:ascii="宋体" w:hAnsi="宋体"/>
          <w:color w:val="auto"/>
          <w:lang w:eastAsia="zh-CN"/>
        </w:rPr>
        <w:t>同样来自于杜尔</w:t>
      </w:r>
      <w:r>
        <w:rPr>
          <w:rFonts w:hint="eastAsia" w:ascii="宋体" w:hAnsi="宋体"/>
          <w:lang w:eastAsia="zh-CN"/>
        </w:rPr>
        <w:t>。在莱芜，四</w:t>
      </w:r>
      <w:r>
        <w:rPr>
          <w:rFonts w:hint="eastAsia" w:ascii="宋体" w:hAnsi="宋体"/>
          <w:color w:val="auto"/>
          <w:lang w:eastAsia="zh-CN"/>
        </w:rPr>
        <w:t>套</w:t>
      </w:r>
      <w:r>
        <w:rPr>
          <w:rFonts w:hint="eastAsia" w:ascii="宋体" w:hAnsi="宋体"/>
          <w:lang w:eastAsia="zh-CN"/>
        </w:rPr>
        <w:t>配有高精度三维</w:t>
      </w:r>
      <w:r>
        <w:rPr>
          <w:rFonts w:hint="eastAsia" w:ascii="宋体" w:hAnsi="宋体"/>
          <w:color w:val="auto"/>
          <w:lang w:eastAsia="zh-CN"/>
        </w:rPr>
        <w:t>立体照相</w:t>
      </w:r>
      <w:r>
        <w:rPr>
          <w:rFonts w:hint="eastAsia" w:ascii="宋体" w:hAnsi="宋体"/>
          <w:lang w:eastAsia="zh-CN"/>
        </w:rPr>
        <w:t>测量技术的车轮定位台</w:t>
      </w:r>
      <w:r>
        <w:rPr>
          <w:lang w:eastAsia="zh-CN"/>
        </w:rPr>
        <w:t>x-wheel truck d</w:t>
      </w:r>
      <w:r>
        <w:rPr>
          <w:rFonts w:hint="eastAsia" w:ascii="宋体" w:hAnsi="宋体"/>
          <w:lang w:eastAsia="zh-CN"/>
        </w:rPr>
        <w:t>用来测量和调整车辆</w:t>
      </w:r>
      <w:r>
        <w:rPr>
          <w:rFonts w:hint="eastAsia" w:ascii="宋体" w:hAnsi="宋体"/>
          <w:color w:val="auto"/>
          <w:lang w:eastAsia="zh-CN"/>
        </w:rPr>
        <w:t>四轮定位</w:t>
      </w:r>
      <w:r>
        <w:rPr>
          <w:rFonts w:hint="eastAsia" w:ascii="宋体" w:hAnsi="宋体"/>
          <w:lang w:eastAsia="zh-CN"/>
        </w:rPr>
        <w:t>参数。杜尔用专门为该应用领域开发的</w:t>
      </w:r>
      <w:r>
        <w:rPr>
          <w:rFonts w:hint="eastAsia" w:ascii="宋体" w:hAnsi="宋体"/>
          <w:color w:val="auto"/>
          <w:lang w:eastAsia="zh-CN"/>
        </w:rPr>
        <w:t>组件</w:t>
      </w:r>
      <w:r>
        <w:rPr>
          <w:rFonts w:hint="eastAsia" w:ascii="宋体" w:hAnsi="宋体"/>
          <w:lang w:eastAsia="zh-CN"/>
        </w:rPr>
        <w:t>满足重型卡车在</w:t>
      </w:r>
      <w:r>
        <w:rPr>
          <w:rFonts w:hint="eastAsia" w:ascii="宋体" w:hAnsi="宋体"/>
          <w:color w:val="auto"/>
          <w:lang w:eastAsia="zh-CN"/>
        </w:rPr>
        <w:t>装载</w:t>
      </w:r>
      <w:r>
        <w:rPr>
          <w:rFonts w:hint="eastAsia" w:ascii="宋体" w:hAnsi="宋体"/>
          <w:lang w:eastAsia="zh-CN"/>
        </w:rPr>
        <w:t>能力、</w:t>
      </w:r>
      <w:r>
        <w:rPr>
          <w:rFonts w:hint="eastAsia" w:ascii="宋体" w:hAnsi="宋体"/>
          <w:color w:val="auto"/>
          <w:lang w:eastAsia="zh-CN"/>
        </w:rPr>
        <w:t>轴距和</w:t>
      </w:r>
      <w:r>
        <w:rPr>
          <w:rFonts w:hint="eastAsia" w:ascii="宋体" w:hAnsi="宋体"/>
          <w:lang w:eastAsia="zh-CN"/>
        </w:rPr>
        <w:t>轮距方面的特殊要求。卡车安全相关的驾驶辅助系统也采用了杜尔的检测技术进行精确</w:t>
      </w:r>
      <w:r>
        <w:rPr>
          <w:rFonts w:hint="eastAsia" w:ascii="宋体" w:hAnsi="宋体"/>
          <w:color w:val="auto"/>
          <w:lang w:eastAsia="zh-CN"/>
        </w:rPr>
        <w:t>标定</w:t>
      </w:r>
      <w:r>
        <w:rPr>
          <w:rFonts w:hint="eastAsia" w:ascii="宋体" w:hAnsi="宋体"/>
          <w:lang w:eastAsia="zh-CN"/>
        </w:rPr>
        <w:t>。</w:t>
      </w:r>
      <w:r>
        <w:rPr>
          <w:rFonts w:hint="eastAsia" w:ascii="宋体" w:hAnsi="宋体"/>
          <w:color w:val="auto"/>
          <w:lang w:eastAsia="zh-CN"/>
        </w:rPr>
        <w:t>采用</w:t>
      </w:r>
      <w:r>
        <w:rPr>
          <w:rFonts w:hint="eastAsia" w:ascii="宋体" w:hAnsi="宋体"/>
          <w:lang w:eastAsia="zh-CN"/>
        </w:rPr>
        <w:t>杜尔模块化的</w:t>
      </w:r>
      <w:r>
        <w:rPr>
          <w:lang w:eastAsia="zh-CN"/>
        </w:rPr>
        <w:t>x-DASalign</w:t>
      </w:r>
      <w:r>
        <w:rPr>
          <w:rFonts w:hint="eastAsia" w:ascii="宋体" w:hAnsi="宋体"/>
          <w:lang w:eastAsia="zh-CN"/>
        </w:rPr>
        <w:t>驾驶辅助系统</w:t>
      </w:r>
      <w:r>
        <w:rPr>
          <w:rFonts w:hint="eastAsia" w:ascii="宋体" w:hAnsi="宋体"/>
          <w:color w:val="auto"/>
          <w:lang w:eastAsia="zh-CN"/>
        </w:rPr>
        <w:t>试验台方案</w:t>
      </w:r>
      <w:r>
        <w:rPr>
          <w:rFonts w:hint="eastAsia" w:ascii="宋体" w:hAnsi="宋体"/>
          <w:lang w:eastAsia="zh-CN"/>
        </w:rPr>
        <w:t>，</w:t>
      </w:r>
      <w:r>
        <w:rPr>
          <w:rFonts w:hint="eastAsia" w:ascii="宋体" w:hAnsi="宋体"/>
          <w:color w:val="auto"/>
          <w:lang w:eastAsia="zh-CN"/>
        </w:rPr>
        <w:t>对于</w:t>
      </w:r>
      <w:r>
        <w:rPr>
          <w:rFonts w:hint="eastAsia" w:ascii="宋体" w:hAnsi="宋体"/>
          <w:lang w:eastAsia="zh-CN"/>
        </w:rPr>
        <w:t>车道偏离</w:t>
      </w:r>
      <w:r>
        <w:rPr>
          <w:rFonts w:hint="eastAsia" w:ascii="宋体" w:hAnsi="宋体"/>
          <w:color w:val="auto"/>
          <w:lang w:eastAsia="zh-CN"/>
        </w:rPr>
        <w:t>预警</w:t>
      </w:r>
      <w:r>
        <w:rPr>
          <w:rFonts w:hint="eastAsia" w:ascii="宋体" w:hAnsi="宋体"/>
          <w:lang w:eastAsia="zh-CN"/>
        </w:rPr>
        <w:t>系统和</w:t>
      </w:r>
      <w:r>
        <w:rPr>
          <w:rFonts w:hint="eastAsia" w:ascii="宋体" w:hAnsi="宋体"/>
          <w:color w:val="auto"/>
          <w:lang w:eastAsia="zh-CN"/>
        </w:rPr>
        <w:t>高级</w:t>
      </w:r>
      <w:r>
        <w:rPr>
          <w:rFonts w:hint="eastAsia" w:ascii="宋体" w:hAnsi="宋体"/>
          <w:lang w:eastAsia="zh-CN"/>
        </w:rPr>
        <w:t>紧急制动系统的传感器技术与各车辆的</w:t>
      </w:r>
      <w:r>
        <w:rPr>
          <w:rFonts w:hint="eastAsia" w:ascii="宋体" w:hAnsi="宋体"/>
          <w:color w:val="auto"/>
          <w:lang w:eastAsia="zh-CN"/>
        </w:rPr>
        <w:t>行驶轴线</w:t>
      </w:r>
      <w:r>
        <w:rPr>
          <w:rFonts w:hint="eastAsia" w:ascii="宋体" w:hAnsi="宋体"/>
          <w:lang w:eastAsia="zh-CN"/>
        </w:rPr>
        <w:t>完美</w:t>
      </w:r>
      <w:r>
        <w:rPr>
          <w:rFonts w:hint="eastAsia" w:ascii="宋体" w:hAnsi="宋体"/>
          <w:color w:val="auto"/>
          <w:lang w:eastAsia="zh-CN"/>
        </w:rPr>
        <w:t>一致</w:t>
      </w:r>
      <w:r>
        <w:rPr>
          <w:rFonts w:hint="eastAsia" w:ascii="宋体" w:hAnsi="宋体"/>
          <w:lang w:eastAsia="zh-CN"/>
        </w:rPr>
        <w:t>。</w:t>
      </w:r>
    </w:p>
    <w:p>
      <w:pPr>
        <w:spacing w:line="276" w:lineRule="auto"/>
        <w:jc w:val="both"/>
        <w:rPr>
          <w:lang w:eastAsia="zh-CN"/>
        </w:rPr>
      </w:pPr>
    </w:p>
    <w:p>
      <w:pPr>
        <w:pStyle w:val="4"/>
        <w:rPr>
          <w:lang w:eastAsia="zh-CN"/>
        </w:rPr>
      </w:pPr>
      <w:r>
        <w:rPr>
          <w:rFonts w:hint="eastAsia" w:ascii="宋体" w:hAnsi="宋体"/>
          <w:lang w:eastAsia="zh-CN"/>
        </w:rPr>
        <w:t>杜尔的检测技术得到了中国重汽的高度认可。</w:t>
      </w:r>
      <w:r>
        <w:rPr>
          <w:rFonts w:hint="eastAsia" w:ascii="宋体" w:hAnsi="宋体"/>
          <w:color w:val="auto"/>
          <w:lang w:eastAsia="zh-CN"/>
        </w:rPr>
        <w:t>因而在</w:t>
      </w:r>
      <w:r>
        <w:rPr>
          <w:lang w:eastAsia="zh-CN"/>
        </w:rPr>
        <w:t>2021</w:t>
      </w:r>
      <w:r>
        <w:rPr>
          <w:rFonts w:hint="eastAsia" w:ascii="宋体" w:hAnsi="宋体"/>
          <w:lang w:eastAsia="zh-CN"/>
        </w:rPr>
        <w:t>年</w:t>
      </w:r>
      <w:r>
        <w:rPr>
          <w:rFonts w:hint="eastAsia"/>
          <w:color w:val="auto"/>
          <w:lang w:eastAsia="zh-CN"/>
        </w:rPr>
        <w:t>第三季度</w:t>
      </w:r>
      <w:r>
        <w:rPr>
          <w:rFonts w:hint="eastAsia" w:ascii="宋体" w:hAnsi="宋体"/>
          <w:lang w:eastAsia="zh-CN"/>
        </w:rPr>
        <w:t>，中国重汽还为其在章丘</w:t>
      </w:r>
      <w:r>
        <w:rPr>
          <w:rFonts w:hint="eastAsia" w:ascii="宋体" w:hAnsi="宋体"/>
          <w:color w:val="auto"/>
          <w:lang w:eastAsia="zh-CN"/>
        </w:rPr>
        <w:t>的</w:t>
      </w:r>
      <w:r>
        <w:rPr>
          <w:rFonts w:hint="eastAsia" w:ascii="宋体" w:hAnsi="宋体"/>
          <w:lang w:eastAsia="zh-CN"/>
        </w:rPr>
        <w:t>工厂订购了</w:t>
      </w:r>
      <w:r>
        <w:rPr>
          <w:rFonts w:hint="eastAsia" w:ascii="宋体" w:hAnsi="宋体"/>
          <w:color w:val="auto"/>
          <w:lang w:eastAsia="zh-CN"/>
        </w:rPr>
        <w:t>杜尔试验</w:t>
      </w:r>
      <w:r>
        <w:rPr>
          <w:rFonts w:hint="eastAsia" w:ascii="宋体" w:hAnsi="宋体"/>
          <w:lang w:eastAsia="zh-CN"/>
        </w:rPr>
        <w:t>台。该轻型卡车的生产</w:t>
      </w:r>
      <w:r>
        <w:rPr>
          <w:rFonts w:hint="eastAsia" w:ascii="宋体" w:hAnsi="宋体"/>
          <w:color w:val="auto"/>
          <w:lang w:eastAsia="zh-CN"/>
        </w:rPr>
        <w:t>工</w:t>
      </w:r>
      <w:r>
        <w:rPr>
          <w:rFonts w:hint="eastAsia" w:ascii="宋体" w:hAnsi="宋体"/>
          <w:lang w:eastAsia="zh-CN"/>
        </w:rPr>
        <w:t>厂将使用最</w:t>
      </w:r>
      <w:r>
        <w:rPr>
          <w:rFonts w:hint="eastAsia" w:ascii="宋体" w:hAnsi="宋体"/>
          <w:color w:val="auto"/>
          <w:lang w:eastAsia="zh-CN"/>
        </w:rPr>
        <w:t>先进新一代LED 三维立体照相</w:t>
      </w:r>
      <w:r>
        <w:rPr>
          <w:rFonts w:hint="eastAsia" w:ascii="宋体" w:hAnsi="宋体"/>
          <w:lang w:eastAsia="zh-CN"/>
        </w:rPr>
        <w:t>测量技术</w:t>
      </w:r>
      <w:r>
        <w:rPr>
          <w:rFonts w:hint="eastAsia" w:ascii="宋体" w:hAnsi="宋体"/>
          <w:color w:val="auto"/>
          <w:lang w:eastAsia="zh-CN"/>
        </w:rPr>
        <w:t>（</w:t>
      </w:r>
      <w:r>
        <w:rPr>
          <w:lang w:eastAsia="zh-CN"/>
        </w:rPr>
        <w:t>x-3D</w:t>
      </w:r>
      <w:r>
        <w:rPr>
          <w:color w:val="auto"/>
          <w:lang w:eastAsia="zh-CN"/>
        </w:rPr>
        <w:t>surface</w:t>
      </w:r>
      <w:r>
        <w:rPr>
          <w:rFonts w:hint="eastAsia" w:ascii="宋体" w:hAnsi="宋体"/>
          <w:color w:val="auto"/>
          <w:lang w:eastAsia="zh-CN"/>
        </w:rPr>
        <w:t>）</w:t>
      </w:r>
      <w:r>
        <w:rPr>
          <w:rFonts w:hint="eastAsia" w:ascii="宋体" w:hAnsi="宋体"/>
          <w:lang w:eastAsia="zh-CN"/>
        </w:rPr>
        <w:t>的车轮定位台</w:t>
      </w:r>
      <w:r>
        <w:rPr>
          <w:sz w:val="20"/>
          <w:szCs w:val="20"/>
          <w:lang w:eastAsia="zh-CN"/>
        </w:rPr>
        <w:t>x-wheel</w:t>
      </w:r>
      <w:r>
        <w:rPr>
          <w:rFonts w:hint="eastAsia" w:ascii="宋体" w:hAnsi="宋体"/>
          <w:lang w:eastAsia="zh-CN"/>
        </w:rPr>
        <w:t>组合转鼓</w:t>
      </w:r>
      <w:r>
        <w:rPr>
          <w:rFonts w:hint="eastAsia" w:ascii="宋体" w:hAnsi="宋体"/>
          <w:color w:val="auto"/>
          <w:lang w:eastAsia="zh-CN"/>
        </w:rPr>
        <w:t>/制动/ABS</w:t>
      </w:r>
      <w:r>
        <w:rPr>
          <w:rFonts w:hint="eastAsia" w:ascii="宋体" w:hAnsi="宋体"/>
          <w:lang w:eastAsia="zh-CN"/>
        </w:rPr>
        <w:t>试验台</w:t>
      </w:r>
      <w:r>
        <w:rPr>
          <w:lang w:eastAsia="zh-CN"/>
        </w:rPr>
        <w:t xml:space="preserve">x-road </w:t>
      </w:r>
      <w:r>
        <w:rPr>
          <w:color w:val="auto"/>
          <w:lang w:eastAsia="zh-CN"/>
        </w:rPr>
        <w:t>medium truck</w:t>
      </w:r>
      <w:r>
        <w:rPr>
          <w:rFonts w:hint="eastAsia" w:ascii="宋体" w:hAnsi="宋体"/>
          <w:lang w:eastAsia="zh-CN"/>
        </w:rPr>
        <w:t>。</w:t>
      </w:r>
    </w:p>
    <w:bookmarkEnd w:id="1"/>
    <w:p>
      <w:pPr>
        <w:spacing w:line="276" w:lineRule="auto"/>
        <w:jc w:val="both"/>
        <w:rPr>
          <w:lang w:val="en-US" w:eastAsia="zh-CN"/>
        </w:rPr>
      </w:pPr>
    </w:p>
    <w:p>
      <w:pPr>
        <w:pStyle w:val="4"/>
        <w:rPr>
          <w:lang w:val="en-US" w:eastAsia="zh-CN"/>
        </w:rPr>
      </w:pPr>
      <w:r>
        <w:rPr>
          <w:rFonts w:hint="eastAsia"/>
          <w:lang w:val="en-US" w:eastAsia="zh-CN"/>
        </w:rPr>
        <w:t>按计划，中国重汽这两个涂装车间将分别于2021年和2022年投入使用。</w:t>
      </w:r>
    </w:p>
    <w:p>
      <w:pPr>
        <w:spacing w:line="276" w:lineRule="auto"/>
        <w:jc w:val="both"/>
        <w:rPr>
          <w:lang w:val="en-US" w:eastAsia="zh-CN"/>
        </w:rPr>
      </w:pPr>
    </w:p>
    <w:p>
      <w:pPr>
        <w:pStyle w:val="4"/>
        <w:rPr>
          <w:rFonts w:ascii="Arial" w:hAnsi="Arial" w:eastAsia="Arial" w:cs="Arial"/>
          <w:color w:val="auto"/>
          <w:sz w:val="20"/>
          <w:szCs w:val="22"/>
          <w:lang w:eastAsia="zh-CN"/>
        </w:rPr>
      </w:pPr>
      <w:r>
        <w:rPr>
          <w:rFonts w:hint="eastAsia"/>
          <w:b/>
          <w:bCs/>
          <w:lang w:val="en-US" w:eastAsia="zh-CN"/>
        </w:rPr>
        <w:t>图片</w:t>
      </w:r>
      <w:r>
        <w:rPr>
          <w:rFonts w:ascii="Arial" w:hAnsi="Arial" w:eastAsia="Arial" w:cs="Arial"/>
          <w:bCs/>
          <w:color w:val="auto"/>
          <w:sz w:val="20"/>
          <w:szCs w:val="22"/>
          <w:lang w:eastAsia="zh-CN"/>
        </w:rPr>
        <w:drawing>
          <wp:inline distT="0" distB="0" distL="0" distR="0">
            <wp:extent cx="4914900" cy="3486150"/>
            <wp:effectExtent l="0" t="0" r="0" b="635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10" cstate="print"/>
                    <a:srcRect/>
                    <a:stretch>
                      <a:fillRect/>
                    </a:stretch>
                  </pic:blipFill>
                  <pic:spPr>
                    <a:xfrm>
                      <a:off x="0" y="0"/>
                      <a:ext cx="4914900" cy="3486150"/>
                    </a:xfrm>
                    <a:prstGeom prst="rect">
                      <a:avLst/>
                    </a:prstGeom>
                    <a:noFill/>
                    <a:ln>
                      <a:noFill/>
                    </a:ln>
                  </pic:spPr>
                </pic:pic>
              </a:graphicData>
            </a:graphic>
          </wp:inline>
        </w:drawing>
      </w:r>
    </w:p>
    <w:p>
      <w:pPr>
        <w:spacing w:line="276" w:lineRule="auto"/>
        <w:jc w:val="both"/>
        <w:rPr>
          <w:b/>
          <w:bCs/>
          <w:sz w:val="17"/>
          <w:lang w:val="en-US" w:eastAsia="zh-CN"/>
        </w:rPr>
      </w:pPr>
      <w:r>
        <w:rPr>
          <w:rFonts w:hint="eastAsia"/>
          <w:b/>
          <w:bCs/>
          <w:sz w:val="17"/>
          <w:lang w:val="en-US" w:eastAsia="zh-CN"/>
        </w:rPr>
        <w:t>图1：尽管</w:t>
      </w:r>
      <w:r>
        <w:rPr>
          <w:b/>
          <w:bCs/>
          <w:sz w:val="17"/>
          <w:lang w:val="en-US" w:eastAsia="zh-CN"/>
        </w:rPr>
        <w:t>Eco</w:t>
      </w:r>
      <w:r>
        <w:rPr>
          <w:rFonts w:hint="eastAsia"/>
          <w:sz w:val="17"/>
          <w:lang w:val="en-US" w:eastAsia="zh-CN"/>
        </w:rPr>
        <w:t>ProFleet已经应用于乘用车生产，但在卡车驾驶室涂装车间的使用尚属首次。</w:t>
      </w:r>
    </w:p>
    <w:p>
      <w:pPr>
        <w:pStyle w:val="49"/>
        <w:numPr>
          <w:ilvl w:val="0"/>
          <w:numId w:val="0"/>
        </w:numPr>
        <w:rPr>
          <w:lang w:val="en-US" w:eastAsia="zh-CN"/>
        </w:rPr>
      </w:pPr>
    </w:p>
    <w:p>
      <w:pPr>
        <w:pStyle w:val="49"/>
        <w:numPr>
          <w:ilvl w:val="0"/>
          <w:numId w:val="0"/>
        </w:numPr>
        <w:rPr>
          <w:lang w:val="en-US"/>
        </w:rPr>
      </w:pPr>
      <w:r>
        <w:rPr>
          <w:rFonts w:ascii="Arial" w:hAnsi="Arial" w:eastAsia="Arial" w:cs="Arial"/>
          <w:color w:val="auto"/>
          <w:szCs w:val="20"/>
          <w:lang w:eastAsia="zh-CN"/>
        </w:rPr>
        <w:drawing>
          <wp:inline distT="0" distB="0" distL="0" distR="0">
            <wp:extent cx="4922520" cy="2766060"/>
            <wp:effectExtent l="0" t="0" r="5080" b="254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1" cstate="screen"/>
                    <a:srcRect/>
                    <a:stretch>
                      <a:fillRect/>
                    </a:stretch>
                  </pic:blipFill>
                  <pic:spPr>
                    <a:xfrm>
                      <a:off x="0" y="0"/>
                      <a:ext cx="4922520" cy="2766060"/>
                    </a:xfrm>
                    <a:prstGeom prst="rect">
                      <a:avLst/>
                    </a:prstGeom>
                    <a:noFill/>
                    <a:ln>
                      <a:noFill/>
                    </a:ln>
                  </pic:spPr>
                </pic:pic>
              </a:graphicData>
            </a:graphic>
          </wp:inline>
        </w:drawing>
      </w:r>
    </w:p>
    <w:p>
      <w:pPr>
        <w:pStyle w:val="4"/>
        <w:rPr>
          <w:sz w:val="17"/>
          <w:lang w:val="en-US" w:eastAsia="zh-CN"/>
        </w:rPr>
      </w:pPr>
      <w:r>
        <w:rPr>
          <w:rFonts w:hint="eastAsia"/>
          <w:b/>
          <w:bCs/>
          <w:sz w:val="17"/>
          <w:lang w:val="en-US" w:eastAsia="zh-CN"/>
        </w:rPr>
        <w:t>图2：</w:t>
      </w:r>
      <w:r>
        <w:rPr>
          <w:rFonts w:hint="eastAsia"/>
          <w:sz w:val="17"/>
          <w:lang w:val="en-US" w:eastAsia="zh-CN"/>
        </w:rPr>
        <w:t>中国重汽使用杜尔的RoDip® E进行PT/EC工艺。</w:t>
      </w:r>
    </w:p>
    <w:p>
      <w:pPr>
        <w:pStyle w:val="4"/>
        <w:spacing w:line="240" w:lineRule="auto"/>
        <w:rPr>
          <w:rFonts w:ascii="Arial" w:hAnsi="Arial" w:eastAsia="Arial" w:cs="Arial"/>
          <w:color w:val="auto"/>
          <w:sz w:val="18"/>
          <w:szCs w:val="20"/>
          <w:lang w:eastAsia="zh-CN"/>
        </w:rPr>
      </w:pPr>
    </w:p>
    <w:p>
      <w:pPr>
        <w:pStyle w:val="4"/>
        <w:spacing w:line="240" w:lineRule="auto"/>
        <w:rPr>
          <w:rFonts w:ascii="Arial" w:hAnsi="Arial" w:eastAsia="Arial" w:cs="Arial"/>
          <w:color w:val="auto"/>
          <w:sz w:val="18"/>
          <w:szCs w:val="20"/>
          <w:lang w:eastAsia="zh-CN"/>
        </w:rPr>
      </w:pPr>
      <w:r>
        <w:rPr>
          <w:rFonts w:ascii="Arial" w:hAnsi="Arial" w:eastAsia="Arial" w:cs="Arial"/>
          <w:color w:val="auto"/>
          <w:sz w:val="18"/>
          <w:szCs w:val="20"/>
          <w:lang w:eastAsia="zh-CN"/>
        </w:rPr>
        <w:drawing>
          <wp:inline distT="0" distB="0" distL="0" distR="0">
            <wp:extent cx="3790950" cy="2879725"/>
            <wp:effectExtent l="0" t="0" r="6350" b="317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a:picLocks noChangeAspect="1" noChangeArrowheads="1"/>
                    </pic:cNvPicPr>
                  </pic:nvPicPr>
                  <pic:blipFill>
                    <a:blip r:embed="rId12" cstate="screen"/>
                    <a:srcRect/>
                    <a:stretch>
                      <a:fillRect/>
                    </a:stretch>
                  </pic:blipFill>
                  <pic:spPr>
                    <a:xfrm>
                      <a:off x="0" y="0"/>
                      <a:ext cx="3791020" cy="2880000"/>
                    </a:xfrm>
                    <a:prstGeom prst="rect">
                      <a:avLst/>
                    </a:prstGeom>
                    <a:noFill/>
                    <a:ln>
                      <a:noFill/>
                    </a:ln>
                  </pic:spPr>
                </pic:pic>
              </a:graphicData>
            </a:graphic>
          </wp:inline>
        </w:drawing>
      </w:r>
    </w:p>
    <w:p>
      <w:pPr>
        <w:pStyle w:val="4"/>
        <w:rPr>
          <w:sz w:val="17"/>
          <w:lang w:val="en-US" w:eastAsia="zh-CN"/>
        </w:rPr>
      </w:pPr>
      <w:r>
        <w:rPr>
          <w:rFonts w:hint="eastAsia"/>
          <w:b/>
          <w:bCs/>
          <w:sz w:val="17"/>
          <w:lang w:val="en-US" w:eastAsia="zh-CN"/>
        </w:rPr>
        <w:t>图3：</w:t>
      </w:r>
      <w:r>
        <w:rPr>
          <w:b/>
          <w:bCs/>
          <w:sz w:val="17"/>
          <w:lang w:val="en-US" w:eastAsia="zh-CN"/>
        </w:rPr>
        <w:t>Eco</w:t>
      </w:r>
      <w:r>
        <w:rPr>
          <w:rFonts w:hint="eastAsia"/>
          <w:sz w:val="17"/>
          <w:lang w:val="en-US" w:eastAsia="zh-CN"/>
        </w:rPr>
        <w:t>Dry X使用纸板过滤箱作为过喷的分离介质。</w:t>
      </w:r>
    </w:p>
    <w:p>
      <w:pPr>
        <w:pStyle w:val="4"/>
        <w:spacing w:line="240" w:lineRule="auto"/>
        <w:rPr>
          <w:sz w:val="17"/>
          <w:lang w:val="en-US" w:eastAsia="zh-CN"/>
        </w:rPr>
      </w:pPr>
    </w:p>
    <w:p>
      <w:pPr>
        <w:pStyle w:val="4"/>
        <w:spacing w:line="240" w:lineRule="auto"/>
        <w:rPr>
          <w:rFonts w:ascii="Arial" w:hAnsi="Arial" w:eastAsia="Arial" w:cs="Arial"/>
          <w:color w:val="auto"/>
          <w:sz w:val="18"/>
          <w:szCs w:val="20"/>
        </w:rPr>
      </w:pPr>
      <w:bookmarkStart w:id="4" w:name="_GoBack"/>
      <w:r>
        <w:rPr>
          <w:rFonts w:ascii="Arial" w:hAnsi="Arial" w:cs="Arial"/>
          <w:sz w:val="18"/>
          <w:szCs w:val="18"/>
        </w:rPr>
        <w:drawing>
          <wp:inline distT="0" distB="0" distL="0" distR="0">
            <wp:extent cx="4114800" cy="2743200"/>
            <wp:effectExtent l="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4"/>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4114800" cy="2743200"/>
                    </a:xfrm>
                    <a:prstGeom prst="rect">
                      <a:avLst/>
                    </a:prstGeom>
                  </pic:spPr>
                </pic:pic>
              </a:graphicData>
            </a:graphic>
          </wp:inline>
        </w:drawing>
      </w:r>
      <w:bookmarkEnd w:id="4"/>
    </w:p>
    <w:p>
      <w:pPr>
        <w:pStyle w:val="4"/>
        <w:spacing w:line="240" w:lineRule="auto"/>
        <w:rPr>
          <w:rFonts w:ascii="Arial" w:hAnsi="Arial" w:eastAsia="Arial" w:cs="Arial"/>
          <w:color w:val="auto"/>
          <w:sz w:val="18"/>
          <w:szCs w:val="20"/>
          <w:lang w:eastAsia="zh-CN"/>
        </w:rPr>
      </w:pPr>
      <w:r>
        <w:rPr>
          <w:rFonts w:hint="eastAsia" w:ascii="Arial" w:hAnsi="Arial"/>
          <w:color w:val="auto"/>
          <w:sz w:val="18"/>
          <w:lang w:eastAsia="zh-CN"/>
        </w:rPr>
        <w:t>图4:</w:t>
      </w:r>
      <w:r>
        <w:rPr>
          <w:rFonts w:ascii="Arial" w:hAnsi="Arial"/>
          <w:color w:val="auto"/>
          <w:sz w:val="18"/>
          <w:lang w:eastAsia="zh-CN"/>
        </w:rPr>
        <w:t xml:space="preserve"> </w:t>
      </w:r>
      <w:r>
        <w:rPr>
          <w:rFonts w:hint="eastAsia" w:ascii="Arial" w:hAnsi="Arial"/>
          <w:color w:val="auto"/>
          <w:sz w:val="18"/>
          <w:lang w:eastAsia="zh-CN"/>
        </w:rPr>
        <w:t>自动质量控制：机器人控制的传感器技术按设定点全自动地检查卡车驾驶室。</w:t>
      </w:r>
    </w:p>
    <w:p>
      <w:pPr>
        <w:pStyle w:val="49"/>
        <w:numPr>
          <w:ilvl w:val="0"/>
          <w:numId w:val="0"/>
        </w:numPr>
        <w:rPr>
          <w:lang w:eastAsia="zh-CN"/>
        </w:rPr>
      </w:pPr>
    </w:p>
    <w:p>
      <w:pPr>
        <w:spacing w:line="360" w:lineRule="auto"/>
        <w:jc w:val="both"/>
        <w:rPr>
          <w:rFonts w:ascii="Arial" w:hAnsi="Arial" w:cs="Arial"/>
          <w:b/>
          <w:iCs/>
          <w:sz w:val="18"/>
          <w:szCs w:val="18"/>
          <w:lang w:val="en-US" w:eastAsia="zh-CN"/>
        </w:rPr>
      </w:pPr>
      <w:bookmarkStart w:id="2" w:name="OLE_LINK10"/>
      <w:bookmarkStart w:id="3" w:name="OLE_LINK11"/>
      <w:r>
        <w:rPr>
          <w:rFonts w:hint="eastAsia" w:ascii="Arial" w:hAnsi="Arial" w:cs="Arial"/>
          <w:b/>
          <w:iCs/>
          <w:sz w:val="18"/>
          <w:szCs w:val="18"/>
          <w:lang w:val="en-US" w:eastAsia="zh-CN"/>
        </w:rPr>
        <w:t>关于杜尔</w:t>
      </w:r>
    </w:p>
    <w:p>
      <w:pPr>
        <w:spacing w:line="360" w:lineRule="auto"/>
        <w:jc w:val="both"/>
        <w:rPr>
          <w:rFonts w:ascii="Arial" w:hAnsi="Arial" w:cs="Arial"/>
          <w:b/>
          <w:iCs/>
          <w:sz w:val="18"/>
          <w:szCs w:val="18"/>
          <w:lang w:val="en-US" w:eastAsia="zh-CN"/>
        </w:rPr>
      </w:pPr>
    </w:p>
    <w:p>
      <w:pPr>
        <w:spacing w:line="360" w:lineRule="auto"/>
        <w:jc w:val="both"/>
        <w:rPr>
          <w:rFonts w:ascii="Arial" w:hAnsi="Arial" w:cs="Arial"/>
          <w:iCs/>
          <w:sz w:val="18"/>
          <w:szCs w:val="18"/>
          <w:lang w:eastAsia="zh-CN"/>
        </w:rPr>
      </w:pPr>
      <w:r>
        <w:rPr>
          <w:rFonts w:hint="eastAsia" w:ascii="Arial" w:hAnsi="Arial" w:cs="Arial"/>
          <w:iCs/>
          <w:sz w:val="18"/>
          <w:szCs w:val="18"/>
          <w:lang w:eastAsia="zh-CN"/>
        </w:rPr>
        <w:t>杜尔集团自</w:t>
      </w:r>
      <w:r>
        <w:rPr>
          <w:rFonts w:hint="eastAsia" w:ascii="Arial" w:hAnsi="Arial" w:cs="Arial"/>
          <w:iCs/>
          <w:sz w:val="18"/>
          <w:szCs w:val="18"/>
          <w:lang w:val="en-US" w:eastAsia="zh-CN"/>
        </w:rPr>
        <w:t>1985</w:t>
      </w:r>
      <w:r>
        <w:rPr>
          <w:rFonts w:hint="eastAsia" w:ascii="Arial" w:hAnsi="Arial" w:cs="Arial"/>
          <w:iCs/>
          <w:sz w:val="18"/>
          <w:szCs w:val="18"/>
          <w:lang w:eastAsia="zh-CN"/>
        </w:rPr>
        <w:t>年进入中国市场以来</w:t>
      </w:r>
      <w:r>
        <w:rPr>
          <w:rFonts w:hint="eastAsia" w:ascii="Arial" w:hAnsi="Arial" w:cs="Arial"/>
          <w:iCs/>
          <w:sz w:val="18"/>
          <w:szCs w:val="18"/>
          <w:lang w:val="en-US" w:eastAsia="zh-CN"/>
        </w:rPr>
        <w:t>，</w:t>
      </w:r>
      <w:r>
        <w:rPr>
          <w:rFonts w:hint="eastAsia" w:ascii="Arial" w:hAnsi="Arial" w:cs="Arial"/>
          <w:iCs/>
          <w:sz w:val="18"/>
          <w:szCs w:val="18"/>
          <w:lang w:eastAsia="zh-CN"/>
        </w:rPr>
        <w:t>目前在中国拥有约</w:t>
      </w:r>
      <w:r>
        <w:rPr>
          <w:rFonts w:hint="eastAsia" w:ascii="Arial" w:hAnsi="Arial" w:cs="Arial"/>
          <w:iCs/>
          <w:sz w:val="18"/>
          <w:szCs w:val="18"/>
          <w:lang w:val="en-US" w:eastAsia="zh-CN"/>
        </w:rPr>
        <w:t>2,400</w:t>
      </w:r>
      <w:r>
        <w:rPr>
          <w:rFonts w:hint="eastAsia" w:ascii="Arial" w:hAnsi="Arial" w:cs="Arial"/>
          <w:iCs/>
          <w:sz w:val="18"/>
          <w:szCs w:val="18"/>
          <w:lang w:eastAsia="zh-CN"/>
        </w:rPr>
        <w:t>位雇员。杜尔涂装系统工程（上海）有限公司设计和建造涂装车间、总装车间以及废气净化系统。其产品还包括能源效率技术。上海申克机械有限公司专注于动平衡、检测、加注技术的生产、销售和服务。豪迈集团生产木工行业相关机械和设备，在上海设有生产场所（豪德迈机械上海有限公司），并通过香港在香港设有销售和服务机构金田豪迈木业机械有限公司提供销售和服务。</w:t>
      </w:r>
    </w:p>
    <w:p>
      <w:pPr>
        <w:spacing w:line="360" w:lineRule="auto"/>
        <w:jc w:val="both"/>
        <w:rPr>
          <w:rFonts w:ascii="Arial" w:hAnsi="Arial" w:cs="Arial"/>
          <w:iCs/>
          <w:sz w:val="18"/>
          <w:szCs w:val="18"/>
          <w:lang w:eastAsia="zh-CN"/>
        </w:rPr>
      </w:pPr>
    </w:p>
    <w:p>
      <w:pPr>
        <w:spacing w:line="360" w:lineRule="auto"/>
        <w:jc w:val="both"/>
        <w:rPr>
          <w:rFonts w:ascii="Arial" w:hAnsi="Arial" w:cs="Arial"/>
          <w:iCs/>
          <w:sz w:val="18"/>
          <w:szCs w:val="18"/>
          <w:lang w:eastAsia="zh-CN"/>
        </w:rPr>
      </w:pPr>
      <w:r>
        <w:rPr>
          <w:rFonts w:ascii="Arial" w:hAnsi="Arial" w:cs="Arial"/>
          <w:iCs/>
          <w:sz w:val="18"/>
          <w:szCs w:val="18"/>
          <w:lang w:eastAsia="zh-CN"/>
        </w:rPr>
        <w:t>杜尔集团是一家世界领先的机械和设备工程企业</w:t>
      </w:r>
      <w:r>
        <w:rPr>
          <w:rFonts w:ascii="Arial" w:hAnsi="Arial" w:cs="Arial"/>
          <w:iCs/>
          <w:sz w:val="18"/>
          <w:szCs w:val="18"/>
          <w:lang w:val="en-US" w:eastAsia="zh-CN"/>
        </w:rPr>
        <w:t>，</w:t>
      </w:r>
      <w:r>
        <w:rPr>
          <w:rFonts w:ascii="Arial" w:hAnsi="Arial" w:cs="Arial"/>
          <w:iCs/>
          <w:sz w:val="18"/>
          <w:szCs w:val="18"/>
          <w:lang w:eastAsia="zh-CN"/>
        </w:rPr>
        <w:t>拥有丰富的自动化和数字化</w:t>
      </w:r>
      <w:r>
        <w:rPr>
          <w:rFonts w:ascii="Arial" w:hAnsi="Arial" w:cs="Arial"/>
          <w:iCs/>
          <w:sz w:val="18"/>
          <w:szCs w:val="18"/>
          <w:lang w:val="en-US" w:eastAsia="zh-CN"/>
        </w:rPr>
        <w:t>/</w:t>
      </w:r>
      <w:r>
        <w:rPr>
          <w:rFonts w:ascii="Arial" w:hAnsi="Arial" w:cs="Arial"/>
          <w:iCs/>
          <w:sz w:val="18"/>
          <w:szCs w:val="18"/>
          <w:lang w:eastAsia="zh-CN"/>
        </w:rPr>
        <w:t>工业</w:t>
      </w:r>
      <w:r>
        <w:rPr>
          <w:rFonts w:ascii="Arial" w:hAnsi="Arial" w:cs="Arial"/>
          <w:iCs/>
          <w:sz w:val="18"/>
          <w:szCs w:val="18"/>
          <w:lang w:val="en-US" w:eastAsia="zh-CN"/>
        </w:rPr>
        <w:t xml:space="preserve"> 4.0 </w:t>
      </w:r>
      <w:r>
        <w:rPr>
          <w:rFonts w:ascii="Arial" w:hAnsi="Arial" w:cs="Arial"/>
          <w:iCs/>
          <w:sz w:val="18"/>
          <w:szCs w:val="18"/>
          <w:lang w:eastAsia="zh-CN"/>
        </w:rPr>
        <w:t>专业经验</w:t>
      </w:r>
      <w:r>
        <w:rPr>
          <w:rFonts w:ascii="Arial" w:hAnsi="Arial" w:cs="Arial"/>
          <w:iCs/>
          <w:sz w:val="18"/>
          <w:szCs w:val="18"/>
          <w:lang w:val="en-US" w:eastAsia="zh-CN"/>
        </w:rPr>
        <w:t>，</w:t>
      </w:r>
      <w:r>
        <w:rPr>
          <w:rFonts w:ascii="Arial" w:hAnsi="Arial" w:cs="Arial"/>
          <w:iCs/>
          <w:sz w:val="18"/>
          <w:szCs w:val="18"/>
          <w:lang w:eastAsia="zh-CN"/>
        </w:rPr>
        <w:t>提供产品、系统和服务助力多个行业实现高效</w:t>
      </w:r>
      <w:r>
        <w:rPr>
          <w:rFonts w:hint="eastAsia" w:ascii="Arial" w:hAnsi="Arial" w:cs="Arial"/>
          <w:iCs/>
          <w:sz w:val="18"/>
          <w:szCs w:val="18"/>
          <w:lang w:eastAsia="zh-CN"/>
        </w:rPr>
        <w:t>和节约资源的</w:t>
      </w:r>
      <w:r>
        <w:rPr>
          <w:rFonts w:ascii="Arial" w:hAnsi="Arial" w:cs="Arial"/>
          <w:iCs/>
          <w:sz w:val="18"/>
          <w:szCs w:val="18"/>
          <w:lang w:eastAsia="zh-CN"/>
        </w:rPr>
        <w:t>制造流程。杜尔集团服务于汽车工业、机械工程、化学、制药</w:t>
      </w:r>
      <w:r>
        <w:rPr>
          <w:rFonts w:hint="eastAsia" w:ascii="Arial" w:hAnsi="Arial" w:cs="Arial"/>
          <w:iCs/>
          <w:sz w:val="18"/>
          <w:szCs w:val="18"/>
          <w:lang w:eastAsia="zh-CN"/>
        </w:rPr>
        <w:t>、医疗技术</w:t>
      </w:r>
      <w:r>
        <w:rPr>
          <w:rFonts w:ascii="Arial" w:hAnsi="Arial" w:cs="Arial"/>
          <w:iCs/>
          <w:sz w:val="18"/>
          <w:szCs w:val="18"/>
          <w:lang w:eastAsia="zh-CN"/>
        </w:rPr>
        <w:t>以及木材加工等多个行业。2020 年集团销售额达到了 33.2 亿欧元。</w:t>
      </w:r>
      <w:r>
        <w:rPr>
          <w:rFonts w:hint="eastAsia" w:ascii="Arial" w:hAnsi="Arial" w:cs="Arial"/>
          <w:iCs/>
          <w:sz w:val="18"/>
          <w:szCs w:val="18"/>
          <w:lang w:eastAsia="zh-CN"/>
        </w:rPr>
        <w:t>集团</w:t>
      </w:r>
      <w:r>
        <w:rPr>
          <w:rFonts w:ascii="Arial" w:hAnsi="Arial" w:cs="Arial"/>
          <w:iCs/>
          <w:sz w:val="18"/>
          <w:szCs w:val="18"/>
          <w:lang w:eastAsia="zh-CN"/>
        </w:rPr>
        <w:t>员工</w:t>
      </w:r>
      <w:r>
        <w:rPr>
          <w:rFonts w:hint="eastAsia" w:ascii="Arial" w:hAnsi="Arial" w:cs="Arial"/>
          <w:iCs/>
          <w:sz w:val="18"/>
          <w:szCs w:val="18"/>
          <w:lang w:eastAsia="zh-CN"/>
        </w:rPr>
        <w:t>总数</w:t>
      </w:r>
      <w:r>
        <w:rPr>
          <w:rFonts w:ascii="Arial" w:hAnsi="Arial" w:cs="Arial"/>
          <w:iCs/>
          <w:sz w:val="18"/>
          <w:szCs w:val="18"/>
          <w:lang w:eastAsia="zh-CN"/>
        </w:rPr>
        <w:t>超过 17,000 人，</w:t>
      </w:r>
      <w:r>
        <w:rPr>
          <w:rFonts w:hint="eastAsia" w:ascii="Arial" w:hAnsi="Arial" w:cs="Arial"/>
          <w:iCs/>
          <w:sz w:val="18"/>
          <w:szCs w:val="18"/>
          <w:lang w:eastAsia="zh-CN"/>
        </w:rPr>
        <w:t>遍布于</w:t>
      </w:r>
      <w:r>
        <w:rPr>
          <w:rFonts w:ascii="Arial" w:hAnsi="Arial" w:cs="Arial"/>
          <w:iCs/>
          <w:sz w:val="18"/>
          <w:szCs w:val="18"/>
          <w:lang w:eastAsia="zh-CN"/>
        </w:rPr>
        <w:t>全球 33 个国家</w:t>
      </w:r>
      <w:r>
        <w:rPr>
          <w:rFonts w:hint="eastAsia" w:ascii="Arial" w:hAnsi="Arial" w:cs="Arial"/>
          <w:iCs/>
          <w:sz w:val="18"/>
          <w:szCs w:val="18"/>
          <w:lang w:eastAsia="zh-CN"/>
        </w:rPr>
        <w:t>的</w:t>
      </w:r>
      <w:r>
        <w:rPr>
          <w:rFonts w:ascii="Arial" w:hAnsi="Arial" w:cs="Arial"/>
          <w:iCs/>
          <w:sz w:val="18"/>
          <w:szCs w:val="18"/>
          <w:lang w:eastAsia="zh-CN"/>
        </w:rPr>
        <w:t>119 个业务据点。</w:t>
      </w:r>
      <w:r>
        <w:rPr>
          <w:rFonts w:hint="eastAsia" w:ascii="Arial" w:hAnsi="Arial" w:cs="Arial"/>
          <w:iCs/>
          <w:sz w:val="18"/>
          <w:szCs w:val="18"/>
          <w:lang w:eastAsia="zh-CN"/>
        </w:rPr>
        <w:t>自2021年2月，杜尔拥有多数股权的自动化专家Teamtechnik成为集团的一部分。</w:t>
      </w:r>
      <w:r>
        <w:rPr>
          <w:rFonts w:ascii="Arial" w:hAnsi="Arial" w:cs="Arial"/>
          <w:iCs/>
          <w:sz w:val="18"/>
          <w:szCs w:val="18"/>
          <w:lang w:eastAsia="zh-CN"/>
        </w:rPr>
        <w:t>集团</w:t>
      </w:r>
      <w:r>
        <w:rPr>
          <w:rFonts w:hint="eastAsia" w:ascii="Arial" w:hAnsi="Arial" w:cs="Arial"/>
          <w:iCs/>
          <w:sz w:val="18"/>
          <w:szCs w:val="18"/>
          <w:lang w:eastAsia="zh-CN"/>
        </w:rPr>
        <w:t>通过杜尔、申克和豪迈三个品牌五个事业群在市场上运作</w:t>
      </w:r>
      <w:r>
        <w:rPr>
          <w:rFonts w:ascii="Arial" w:hAnsi="Arial" w:cs="Arial"/>
          <w:iCs/>
          <w:sz w:val="18"/>
          <w:szCs w:val="18"/>
          <w:lang w:eastAsia="zh-CN"/>
        </w:rPr>
        <w:t>：</w:t>
      </w:r>
    </w:p>
    <w:p>
      <w:pPr>
        <w:pStyle w:val="48"/>
        <w:numPr>
          <w:ilvl w:val="0"/>
          <w:numId w:val="5"/>
        </w:numPr>
        <w:tabs>
          <w:tab w:val="clear" w:pos="3572"/>
        </w:tabs>
        <w:spacing w:line="360" w:lineRule="auto"/>
        <w:jc w:val="both"/>
        <w:rPr>
          <w:rFonts w:ascii="Arial" w:hAnsi="Arial" w:cs="Arial"/>
          <w:iCs/>
          <w:sz w:val="18"/>
          <w:szCs w:val="18"/>
          <w:lang w:eastAsia="zh-CN"/>
        </w:rPr>
      </w:pPr>
      <w:r>
        <w:rPr>
          <w:rFonts w:ascii="Arial" w:hAnsi="Arial" w:cs="Arial"/>
          <w:b/>
          <w:iCs/>
          <w:sz w:val="18"/>
          <w:szCs w:val="18"/>
          <w:lang w:eastAsia="zh-CN"/>
        </w:rPr>
        <w:t>涂装和总装系统</w:t>
      </w:r>
      <w:r>
        <w:rPr>
          <w:rFonts w:ascii="Arial" w:hAnsi="Arial" w:cs="Arial"/>
          <w:iCs/>
          <w:sz w:val="18"/>
          <w:szCs w:val="18"/>
          <w:lang w:eastAsia="zh-CN"/>
        </w:rPr>
        <w:t>：</w:t>
      </w:r>
      <w:r>
        <w:rPr>
          <w:rFonts w:hint="eastAsia" w:ascii="Arial" w:hAnsi="Arial" w:cs="Arial"/>
          <w:iCs/>
          <w:sz w:val="18"/>
          <w:szCs w:val="18"/>
          <w:lang w:eastAsia="zh-CN"/>
        </w:rPr>
        <w:t>面向汽车工业的涂装车间以及总装、检测和加注技术，面向医疗设备的装配和检测系统；</w:t>
      </w:r>
    </w:p>
    <w:p>
      <w:pPr>
        <w:pStyle w:val="48"/>
        <w:numPr>
          <w:ilvl w:val="0"/>
          <w:numId w:val="5"/>
        </w:numPr>
        <w:tabs>
          <w:tab w:val="clear" w:pos="3572"/>
        </w:tabs>
        <w:spacing w:line="360" w:lineRule="auto"/>
        <w:jc w:val="both"/>
        <w:rPr>
          <w:rFonts w:ascii="Arial" w:hAnsi="Arial" w:cs="Arial"/>
          <w:iCs/>
          <w:sz w:val="18"/>
          <w:szCs w:val="18"/>
          <w:lang w:eastAsia="zh-CN"/>
        </w:rPr>
      </w:pPr>
      <w:r>
        <w:rPr>
          <w:rFonts w:ascii="Arial" w:hAnsi="Arial" w:cs="Arial"/>
          <w:b/>
          <w:iCs/>
          <w:sz w:val="18"/>
          <w:szCs w:val="18"/>
          <w:lang w:eastAsia="zh-CN"/>
        </w:rPr>
        <w:t>应用技术</w:t>
      </w:r>
      <w:r>
        <w:rPr>
          <w:rFonts w:ascii="Arial" w:hAnsi="Arial" w:cs="Arial"/>
          <w:iCs/>
          <w:sz w:val="18"/>
          <w:szCs w:val="18"/>
          <w:lang w:eastAsia="zh-CN"/>
        </w:rPr>
        <w:t>：自动应用漆液、密封剂和粘合剂的机器人技术</w:t>
      </w:r>
    </w:p>
    <w:p>
      <w:pPr>
        <w:pStyle w:val="48"/>
        <w:numPr>
          <w:ilvl w:val="0"/>
          <w:numId w:val="5"/>
        </w:numPr>
        <w:tabs>
          <w:tab w:val="clear" w:pos="3572"/>
        </w:tabs>
        <w:spacing w:line="360" w:lineRule="auto"/>
        <w:jc w:val="both"/>
        <w:rPr>
          <w:rFonts w:ascii="Arial" w:hAnsi="Arial" w:cs="Arial"/>
          <w:iCs/>
          <w:sz w:val="18"/>
          <w:szCs w:val="18"/>
          <w:lang w:eastAsia="zh-CN"/>
        </w:rPr>
      </w:pPr>
      <w:r>
        <w:rPr>
          <w:rFonts w:ascii="Arial" w:hAnsi="Arial" w:cs="Arial"/>
          <w:b/>
          <w:iCs/>
          <w:sz w:val="18"/>
          <w:szCs w:val="18"/>
          <w:lang w:eastAsia="zh-CN"/>
        </w:rPr>
        <w:t>清洁技术系统</w:t>
      </w:r>
      <w:r>
        <w:rPr>
          <w:rFonts w:ascii="Arial" w:hAnsi="Arial" w:cs="Arial"/>
          <w:iCs/>
          <w:sz w:val="18"/>
          <w:szCs w:val="18"/>
          <w:lang w:eastAsia="zh-CN"/>
        </w:rPr>
        <w:t>：空气污染控制系统,</w:t>
      </w:r>
      <w:r>
        <w:rPr>
          <w:rFonts w:hint="eastAsia" w:ascii="Arial" w:hAnsi="Arial" w:cs="Arial"/>
          <w:iCs/>
          <w:sz w:val="18"/>
          <w:szCs w:val="18"/>
          <w:lang w:eastAsia="zh-CN"/>
        </w:rPr>
        <w:t>降噪</w:t>
      </w:r>
      <w:r>
        <w:rPr>
          <w:rFonts w:ascii="Arial" w:hAnsi="Arial" w:cs="Arial"/>
          <w:iCs/>
          <w:sz w:val="18"/>
          <w:szCs w:val="18"/>
          <w:lang w:eastAsia="zh-CN"/>
        </w:rPr>
        <w:t>系统和电池涂层线</w:t>
      </w:r>
    </w:p>
    <w:p>
      <w:pPr>
        <w:pStyle w:val="48"/>
        <w:numPr>
          <w:ilvl w:val="0"/>
          <w:numId w:val="5"/>
        </w:numPr>
        <w:tabs>
          <w:tab w:val="clear" w:pos="3572"/>
        </w:tabs>
        <w:spacing w:line="360" w:lineRule="auto"/>
        <w:jc w:val="both"/>
        <w:rPr>
          <w:rFonts w:ascii="Arial" w:hAnsi="Arial" w:cs="Arial"/>
          <w:iCs/>
          <w:sz w:val="18"/>
          <w:szCs w:val="18"/>
          <w:lang w:eastAsia="zh-CN"/>
        </w:rPr>
      </w:pPr>
      <w:r>
        <w:rPr>
          <w:rFonts w:ascii="Arial" w:hAnsi="Arial" w:cs="Arial"/>
          <w:b/>
          <w:iCs/>
          <w:sz w:val="18"/>
          <w:szCs w:val="18"/>
          <w:lang w:eastAsia="zh-CN"/>
        </w:rPr>
        <w:t>测量和装配系统</w:t>
      </w:r>
      <w:r>
        <w:rPr>
          <w:rFonts w:ascii="Arial" w:hAnsi="Arial" w:cs="Arial"/>
          <w:iCs/>
          <w:sz w:val="18"/>
          <w:szCs w:val="18"/>
          <w:lang w:eastAsia="zh-CN"/>
        </w:rPr>
        <w:t>：平衡设备及</w:t>
      </w:r>
      <w:r>
        <w:rPr>
          <w:rFonts w:hint="eastAsia" w:ascii="Arial" w:hAnsi="Arial" w:cs="Arial"/>
          <w:iCs/>
          <w:sz w:val="18"/>
          <w:szCs w:val="18"/>
          <w:lang w:eastAsia="zh-CN"/>
        </w:rPr>
        <w:t>诊断技术</w:t>
      </w:r>
    </w:p>
    <w:p>
      <w:pPr>
        <w:pStyle w:val="48"/>
        <w:numPr>
          <w:ilvl w:val="0"/>
          <w:numId w:val="5"/>
        </w:numPr>
        <w:tabs>
          <w:tab w:val="clear" w:pos="3572"/>
        </w:tabs>
        <w:spacing w:line="360" w:lineRule="auto"/>
        <w:ind w:right="281"/>
        <w:jc w:val="both"/>
        <w:rPr>
          <w:rFonts w:ascii="Arial" w:hAnsi="Arial" w:cs="Arial"/>
          <w:iCs/>
          <w:sz w:val="18"/>
          <w:szCs w:val="18"/>
          <w:lang w:eastAsia="zh-CN"/>
        </w:rPr>
      </w:pPr>
      <w:r>
        <w:rPr>
          <w:rFonts w:ascii="Arial" w:hAnsi="Arial" w:cs="Arial"/>
          <w:b/>
          <w:iCs/>
          <w:sz w:val="18"/>
          <w:szCs w:val="18"/>
          <w:lang w:eastAsia="zh-CN"/>
        </w:rPr>
        <w:t>木工机械和系统</w:t>
      </w:r>
      <w:r>
        <w:rPr>
          <w:rFonts w:ascii="Arial" w:hAnsi="Arial" w:cs="Arial"/>
          <w:iCs/>
          <w:sz w:val="18"/>
          <w:szCs w:val="18"/>
          <w:lang w:eastAsia="zh-CN"/>
        </w:rPr>
        <w:t>：木材加工行业设备</w:t>
      </w:r>
    </w:p>
    <w:bookmarkEnd w:id="2"/>
    <w:bookmarkEnd w:id="3"/>
    <w:p>
      <w:pPr>
        <w:pStyle w:val="49"/>
        <w:numPr>
          <w:ilvl w:val="0"/>
          <w:numId w:val="0"/>
        </w:numPr>
        <w:rPr>
          <w:lang w:eastAsia="zh-CN"/>
        </w:rPr>
      </w:pPr>
    </w:p>
    <w:p>
      <w:pPr>
        <w:pStyle w:val="49"/>
        <w:numPr>
          <w:ilvl w:val="0"/>
          <w:numId w:val="0"/>
        </w:numPr>
        <w:rPr>
          <w:lang w:val="en-US" w:eastAsia="zh-CN"/>
        </w:rPr>
      </w:pPr>
    </w:p>
    <w:p>
      <w:pPr>
        <w:pStyle w:val="49"/>
        <w:numPr>
          <w:ilvl w:val="0"/>
          <w:numId w:val="0"/>
        </w:numPr>
        <w:rPr>
          <w:lang w:val="en-US" w:eastAsia="zh-CN"/>
        </w:rPr>
      </w:pPr>
    </w:p>
    <w:p>
      <w:pPr>
        <w:tabs>
          <w:tab w:val="left" w:pos="0"/>
          <w:tab w:val="left" w:pos="851"/>
          <w:tab w:val="left" w:pos="4253"/>
        </w:tabs>
        <w:spacing w:line="276" w:lineRule="auto"/>
        <w:ind w:right="284"/>
        <w:rPr>
          <w:rFonts w:ascii="Arial" w:hAnsi="Arial" w:cs="Arial"/>
          <w:lang w:val="it-IT" w:eastAsia="zh-CN"/>
        </w:rPr>
      </w:pPr>
    </w:p>
    <w:p>
      <w:pPr>
        <w:spacing w:line="280" w:lineRule="atLeast"/>
        <w:rPr>
          <w:rStyle w:val="33"/>
          <w:lang w:val="it-IT" w:eastAsia="zh-CN"/>
        </w:rPr>
      </w:pPr>
      <w:r>
        <w:rPr>
          <w:rStyle w:val="33"/>
          <w:rFonts w:hint="eastAsia"/>
          <w:lang w:eastAsia="zh-CN"/>
        </w:rPr>
        <w:t>联系方式</w:t>
      </w:r>
    </w:p>
    <w:p>
      <w:pPr>
        <w:spacing w:line="280" w:lineRule="atLeast"/>
        <w:rPr>
          <w:rStyle w:val="33"/>
          <w:lang w:val="it-IT" w:eastAsia="zh-CN"/>
        </w:rPr>
      </w:pPr>
      <w:r>
        <w:rPr>
          <w:rStyle w:val="33"/>
          <w:rFonts w:hint="eastAsia"/>
          <w:lang w:eastAsia="zh-CN"/>
        </w:rPr>
        <w:t>杜尔涂装系统工程</w:t>
      </w:r>
      <w:r>
        <w:rPr>
          <w:rStyle w:val="33"/>
          <w:rFonts w:hint="eastAsia"/>
          <w:lang w:val="it-IT" w:eastAsia="zh-CN"/>
        </w:rPr>
        <w:t>（</w:t>
      </w:r>
      <w:r>
        <w:rPr>
          <w:rStyle w:val="33"/>
          <w:rFonts w:hint="eastAsia"/>
          <w:lang w:eastAsia="zh-CN"/>
        </w:rPr>
        <w:t>上海</w:t>
      </w:r>
      <w:r>
        <w:rPr>
          <w:rStyle w:val="33"/>
          <w:rFonts w:hint="eastAsia"/>
          <w:lang w:val="it-IT" w:eastAsia="zh-CN"/>
        </w:rPr>
        <w:t>）</w:t>
      </w:r>
      <w:r>
        <w:rPr>
          <w:rStyle w:val="33"/>
          <w:rFonts w:hint="eastAsia"/>
          <w:lang w:eastAsia="zh-CN"/>
        </w:rPr>
        <w:t>有限公司</w:t>
      </w:r>
    </w:p>
    <w:p>
      <w:pPr>
        <w:spacing w:line="280" w:lineRule="atLeast"/>
        <w:rPr>
          <w:rStyle w:val="33"/>
          <w:lang w:val="it-IT" w:eastAsia="zh-CN"/>
        </w:rPr>
      </w:pPr>
      <w:r>
        <w:rPr>
          <w:rStyle w:val="33"/>
          <w:rFonts w:hint="eastAsia"/>
          <w:lang w:eastAsia="zh-CN"/>
        </w:rPr>
        <w:t>廖容</w:t>
      </w:r>
    </w:p>
    <w:p>
      <w:pPr>
        <w:spacing w:line="280" w:lineRule="atLeast"/>
        <w:rPr>
          <w:rStyle w:val="33"/>
          <w:lang w:val="it-IT" w:eastAsia="zh-CN"/>
        </w:rPr>
      </w:pPr>
      <w:r>
        <w:rPr>
          <w:rStyle w:val="33"/>
          <w:rFonts w:hint="eastAsia"/>
          <w:lang w:eastAsia="zh-CN"/>
        </w:rPr>
        <w:t>市场</w:t>
      </w:r>
    </w:p>
    <w:p>
      <w:pPr>
        <w:spacing w:line="280" w:lineRule="atLeast"/>
        <w:rPr>
          <w:rFonts w:eastAsia="Times New Roman" w:cs="Arial"/>
          <w:sz w:val="20"/>
          <w:szCs w:val="20"/>
          <w:lang w:val="it-IT" w:eastAsia="zh-CN"/>
        </w:rPr>
      </w:pPr>
      <w:r>
        <w:rPr>
          <w:rStyle w:val="33"/>
          <w:rFonts w:hint="eastAsia"/>
          <w:lang w:eastAsia="zh-CN"/>
        </w:rPr>
        <w:t>电话</w:t>
      </w:r>
      <w:r>
        <w:rPr>
          <w:rStyle w:val="33"/>
          <w:rFonts w:hint="eastAsia"/>
          <w:lang w:val="it-IT" w:eastAsia="zh-CN"/>
        </w:rPr>
        <w:t>：</w:t>
      </w:r>
      <w:r>
        <w:rPr>
          <w:rFonts w:eastAsia="Times New Roman" w:cs="Arial"/>
          <w:sz w:val="20"/>
          <w:szCs w:val="20"/>
          <w:lang w:val="it-IT" w:eastAsia="zh-CN"/>
        </w:rPr>
        <w:t>+86 21 3979 1473</w:t>
      </w:r>
    </w:p>
    <w:p>
      <w:pPr>
        <w:spacing w:line="280" w:lineRule="atLeast"/>
        <w:rPr>
          <w:rStyle w:val="33"/>
          <w:lang w:val="it-IT" w:eastAsia="zh-CN"/>
        </w:rPr>
      </w:pPr>
      <w:r>
        <w:rPr>
          <w:rFonts w:eastAsia="Times New Roman" w:cs="Arial"/>
          <w:sz w:val="20"/>
          <w:szCs w:val="20"/>
          <w:lang w:val="it-IT" w:eastAsia="zh-CN"/>
        </w:rPr>
        <w:t>E-mail</w:t>
      </w:r>
      <w:r>
        <w:rPr>
          <w:rFonts w:hint="eastAsia" w:ascii="微软雅黑" w:hAnsi="微软雅黑" w:eastAsia="微软雅黑" w:cs="微软雅黑"/>
          <w:sz w:val="20"/>
          <w:szCs w:val="20"/>
          <w:lang w:val="it-IT" w:eastAsia="zh-CN"/>
        </w:rPr>
        <w:t>：</w:t>
      </w:r>
      <w:r>
        <w:rPr>
          <w:rFonts w:eastAsia="Times New Roman" w:cs="Arial"/>
          <w:sz w:val="20"/>
          <w:szCs w:val="20"/>
          <w:lang w:val="it-IT" w:eastAsia="zh-CN"/>
        </w:rPr>
        <w:t>liao.rong@durr.com.cn</w:t>
      </w:r>
    </w:p>
    <w:p>
      <w:pPr>
        <w:spacing w:line="360" w:lineRule="auto"/>
        <w:ind w:right="27"/>
        <w:rPr>
          <w:rStyle w:val="29"/>
          <w:rFonts w:ascii="Arial" w:hAnsi="Arial" w:eastAsia="Times New Roman"/>
          <w:sz w:val="18"/>
          <w:lang w:val="it-IT" w:eastAsia="de-DE"/>
        </w:rPr>
      </w:pPr>
      <w:r>
        <w:rPr>
          <w:rStyle w:val="29"/>
          <w:rFonts w:hint="eastAsia" w:ascii="Arial" w:hAnsi="Arial" w:eastAsia="Times New Roman" w:cs="Arial"/>
          <w:sz w:val="18"/>
          <w:lang w:val="it-IT" w:eastAsia="de-DE"/>
        </w:rPr>
        <w:t>www.durr.com</w:t>
      </w:r>
    </w:p>
    <w:p>
      <w:pPr>
        <w:tabs>
          <w:tab w:val="left" w:pos="0"/>
          <w:tab w:val="left" w:pos="851"/>
          <w:tab w:val="left" w:pos="4253"/>
        </w:tabs>
        <w:spacing w:line="276" w:lineRule="auto"/>
        <w:ind w:right="284"/>
        <w:rPr>
          <w:rFonts w:ascii="Arial" w:hAnsi="Arial" w:cs="Arial"/>
          <w:lang w:val="it-IT"/>
        </w:rPr>
      </w:pPr>
    </w:p>
    <w:sectPr>
      <w:headerReference r:id="rId6" w:type="first"/>
      <w:footerReference r:id="rId8" w:type="first"/>
      <w:headerReference r:id="rId5" w:type="default"/>
      <w:footerReference r:id="rId7" w:type="default"/>
      <w:pgSz w:w="11900" w:h="16840"/>
      <w:pgMar w:top="3515" w:right="2778" w:bottom="1701" w:left="1361" w:header="794" w:footer="839" w:gutter="0"/>
      <w:cols w:space="708" w:num="1"/>
      <w:formProt w:val="0"/>
      <w:titlePg/>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Times New Roman (Textkörper CS)">
    <w:altName w:val="Times New Roman"/>
    <w:panose1 w:val="00000000000000000000"/>
    <w:charset w:val="00"/>
    <w:family w:val="roman"/>
    <w:pitch w:val="default"/>
    <w:sig w:usb0="00000000" w:usb1="00000000" w:usb2="00000000" w:usb3="00000000" w:csb0="00000000" w:csb1="00000000"/>
  </w:font>
  <w:font w:name="MS PGothic">
    <w:panose1 w:val="020B0600070205080204"/>
    <w:charset w:val="80"/>
    <w:family w:val="auto"/>
    <w:pitch w:val="default"/>
    <w:sig w:usb0="E00002FF" w:usb1="6AC7FDFB" w:usb2="08000012" w:usb3="00000000" w:csb0="4002009F" w:csb1="DFD70000"/>
  </w:font>
  <w:font w:name="Arial (Textkörper)">
    <w:altName w:val="Arial"/>
    <w:panose1 w:val="00000000000000000000"/>
    <w:charset w:val="00"/>
    <w:family w:val="roman"/>
    <w:pitch w:val="default"/>
    <w:sig w:usb0="00000000" w:usb1="00000000" w:usb2="00000000" w:usb3="00000000" w:csb0="00000000" w:csb1="00000000"/>
  </w:font>
  <w:font w:name="Minion Pro">
    <w:altName w:val="Cambria"/>
    <w:panose1 w:val="00000000000000000000"/>
    <w:charset w:val="00"/>
    <w:family w:val="auto"/>
    <w:pitch w:val="default"/>
    <w:sig w:usb0="00000000" w:usb1="00000000" w:usb2="00000000" w:usb3="00000000" w:csb0="0000019F" w:csb1="00000000"/>
  </w:font>
  <w:font w:name="Cambria">
    <w:panose1 w:val="02040503050406030204"/>
    <w:charset w:val="00"/>
    <w:family w:val="auto"/>
    <w:pitch w:val="default"/>
    <w:sig w:usb0="E00006FF" w:usb1="420024FF" w:usb2="02000000" w:usb3="00000000" w:csb0="2000019F" w:csb1="00000000"/>
  </w:font>
  <w:font w:name="Courier New">
    <w:panose1 w:val="02070309020205020404"/>
    <w:charset w:val="00"/>
    <w:family w:val="modern"/>
    <w:pitch w:val="default"/>
    <w:sig w:usb0="E0002EFF" w:usb1="C0007843" w:usb2="00000009" w:usb3="00000000" w:csb0="400001FF" w:csb1="FFFF0000"/>
  </w:font>
  <w:font w:name="微软雅黑">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Pr>
    <w:r>
      <w:fldChar w:fldCharType="begin"/>
    </w:r>
    <w:r>
      <w:instrText xml:space="preserve"> IF  \* MERGEFORMAT </w:instrText>
    </w:r>
    <w:r>
      <w:fldChar w:fldCharType="begin"/>
    </w:r>
    <w:r>
      <w:instrText xml:space="preserve"> NUMPAGES  \* MERGEFORMAT </w:instrText>
    </w:r>
    <w:r>
      <w:fldChar w:fldCharType="separate"/>
    </w:r>
    <w:r>
      <w:instrText xml:space="preserve">6</w:instrText>
    </w:r>
    <w:r>
      <w:fldChar w:fldCharType="end"/>
    </w:r>
    <w:r>
      <w:instrText xml:space="preserve">&gt;"1" "</w:instrText>
    </w:r>
    <w:r>
      <w:fldChar w:fldCharType="begin"/>
    </w:r>
    <w:r>
      <w:instrText xml:space="preserve"> PAGE  \* MERGEFORMAT </w:instrText>
    </w:r>
    <w:r>
      <w:fldChar w:fldCharType="separate"/>
    </w:r>
    <w:r>
      <w:instrText xml:space="preserve">6</w:instrText>
    </w:r>
    <w:r>
      <w:fldChar w:fldCharType="end"/>
    </w:r>
    <w:r>
      <w:instrText xml:space="preserve">/</w:instrText>
    </w:r>
    <w:r>
      <w:fldChar w:fldCharType="begin"/>
    </w:r>
    <w:r>
      <w:instrText xml:space="preserve"> NUMPAGES  \* MERGEFORMAT </w:instrText>
    </w:r>
    <w:r>
      <w:fldChar w:fldCharType="separate"/>
    </w:r>
    <w:r>
      <w:instrText xml:space="preserve">6</w:instrText>
    </w:r>
    <w:r>
      <w:fldChar w:fldCharType="end"/>
    </w:r>
    <w:r>
      <w:instrText xml:space="preserve">" "</w:instrText>
    </w:r>
    <w:r>
      <w:fldChar w:fldCharType="separate"/>
    </w:r>
    <w:r>
      <w:t>6/6</w:t>
    </w:r>
    <w:r>
      <w:fldChar w:fldCharType="end"/>
    </w:r>
    <w:r>
      <w:tab/>
    </w:r>
    <w:r>
      <w:t>Press release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Pr>
    <w:r>
      <w:fldChar w:fldCharType="begin"/>
    </w:r>
    <w:r>
      <w:instrText xml:space="preserve"> IF  \* MERGEFORMAT </w:instrText>
    </w:r>
    <w:r>
      <w:fldChar w:fldCharType="begin"/>
    </w:r>
    <w:r>
      <w:instrText xml:space="preserve"> NUMPAGES  \* MERGEFORMAT </w:instrText>
    </w:r>
    <w:r>
      <w:fldChar w:fldCharType="separate"/>
    </w:r>
    <w:r>
      <w:instrText xml:space="preserve">6</w:instrText>
    </w:r>
    <w:r>
      <w:fldChar w:fldCharType="end"/>
    </w:r>
    <w:r>
      <w:instrText xml:space="preserve">&gt;"1" "</w:instrText>
    </w:r>
    <w:r>
      <w:fldChar w:fldCharType="begin"/>
    </w:r>
    <w:r>
      <w:instrText xml:space="preserve"> PAGE  \* MERGEFORMAT </w:instrText>
    </w:r>
    <w:r>
      <w:fldChar w:fldCharType="separate"/>
    </w:r>
    <w:r>
      <w:instrText xml:space="preserve">1</w:instrText>
    </w:r>
    <w:r>
      <w:fldChar w:fldCharType="end"/>
    </w:r>
    <w:r>
      <w:instrText xml:space="preserve">/</w:instrText>
    </w:r>
    <w:r>
      <w:fldChar w:fldCharType="begin"/>
    </w:r>
    <w:r>
      <w:instrText xml:space="preserve"> NUMPAGES  \* MERGEFORMAT </w:instrText>
    </w:r>
    <w:r>
      <w:fldChar w:fldCharType="separate"/>
    </w:r>
    <w:r>
      <w:instrText xml:space="preserve">6</w:instrText>
    </w:r>
    <w:r>
      <w:fldChar w:fldCharType="end"/>
    </w:r>
    <w:r>
      <w:instrText xml:space="preserve">" "</w:instrText>
    </w:r>
    <w:r>
      <w:fldChar w:fldCharType="separate"/>
    </w:r>
    <w:r>
      <w:t>1/6</w:t>
    </w:r>
    <w:r>
      <w:fldChar w:fldCharType="end"/>
    </w:r>
    <w:r>
      <w:tab/>
    </w:r>
    <w:r>
      <w:t>Press release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Pr>
    <w:r>
      <mc:AlternateContent>
        <mc:Choice Requires="wps">
          <w:drawing>
            <wp:anchor distT="0" distB="0" distL="114300" distR="114300" simplePos="0" relativeHeight="251664384" behindDoc="1" locked="0" layoutInCell="1" allowOverlap="1">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pPr>
                            <w:pStyle w:val="63"/>
                            <w:rPr>
                              <w:rStyle w:val="33"/>
                              <w:bCs/>
                              <w:spacing w:val="2"/>
                              <w:w w:val="100"/>
                            </w:rPr>
                          </w:pPr>
                          <w:r>
                            <w:rPr>
                              <w:rStyle w:val="33"/>
                              <w:bCs/>
                              <w:spacing w:val="2"/>
                              <w:w w:val="100"/>
                            </w:rPr>
                            <w:t>Dürr Systems AG</w:t>
                          </w:r>
                        </w:p>
                        <w:p>
                          <w:pPr>
                            <w:pStyle w:val="63"/>
                          </w:pPr>
                          <w:r>
                            <w:t>Carl-Benz-Str. 34</w:t>
                          </w:r>
                        </w:p>
                        <w:p>
                          <w:pPr>
                            <w:pStyle w:val="63"/>
                          </w:pPr>
                          <w:r>
                            <w:t>74321 Bietigheim-Bissingen</w:t>
                          </w:r>
                        </w:p>
                        <w:p>
                          <w:pPr>
                            <w:pStyle w:val="63"/>
                          </w:pPr>
                        </w:p>
                        <w:p>
                          <w:pPr>
                            <w:pStyle w:val="63"/>
                          </w:pPr>
                          <w:r>
                            <w:t xml:space="preserve">Phone: +49 7142 78-0 </w:t>
                          </w:r>
                        </w:p>
                        <w:p>
                          <w:pPr>
                            <w:pStyle w:val="63"/>
                          </w:pPr>
                          <w:r>
                            <w:t xml:space="preserve">Fax: +49 7142 78-2107 </w:t>
                          </w:r>
                        </w:p>
                        <w:p>
                          <w:pPr>
                            <w:pStyle w:val="63"/>
                          </w:pPr>
                        </w:p>
                        <w:p>
                          <w:pPr>
                            <w:pStyle w:val="63"/>
                          </w:pPr>
                          <w:r>
                            <w:t xml:space="preserve">info@durr.com </w:t>
                          </w:r>
                        </w:p>
                        <w:p>
                          <w:pPr>
                            <w:pStyle w:val="63"/>
                            <w:rPr>
                              <w:lang w:val="en-US"/>
                            </w:rPr>
                          </w:pPr>
                          <w:r>
                            <w:rPr>
                              <w:lang w:val="en-US"/>
                            </w:rPr>
                            <w:t>www.durr.com</w:t>
                          </w:r>
                        </w:p>
                      </w:txbxContent>
                    </wps:txbx>
                    <wps:bodyPr rot="0" spcFirstLastPara="0" vertOverflow="overflow" horzOverflow="overflow" vert="horz" wrap="square" lIns="0" tIns="0" rIns="0" bIns="0" numCol="1" spcCol="0" rtlCol="0" fromWordArt="0" anchor="b" anchorCtr="0" forceAA="0" compatLnSpc="1">
                      <a:noAutofit/>
                    </wps:bodyPr>
                  </wps:wsp>
                </a:graphicData>
              </a:graphic>
            </wp:anchor>
          </w:drawing>
        </mc:Choice>
        <mc:Fallback>
          <w:pict>
            <v:shape id="Textfeld 8" o:spid="_x0000_s1026" o:spt="202" type="#_x0000_t202" style="position:absolute;left:0pt;margin-left:480.45pt;margin-top:320.45pt;height:480.15pt;width:99.2pt;mso-position-horizontal-relative:page;mso-position-vertical-relative:page;z-index:-251652096;v-text-anchor:bottom;mso-width-relative:page;mso-height-relative:page;" filled="f" stroked="f" coordsize="21600,21600" o:gfxdata="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EQvqhjbAAAADQEAAA8AAAAAAAAAAQAgAAAAIgAAAGRycy9kb3ducmV2LnhtbFBLAQIUABQAAAAI&#10;AIdO4kBLQmwTIwIAAFYEAAAOAAAAAAAAAAEAIAAAACoBAABkcnMvZTJvRG9jLnhtbFBLBQYAAAAA&#10;BgAGAFkBAAC/BQAAAAA=&#10;">
              <v:fill on="f" focussize="0,0"/>
              <v:stroke on="f" weight="0.5pt"/>
              <v:imagedata o:title=""/>
              <o:lock v:ext="edit" aspectratio="f"/>
              <v:textbox inset="0mm,0mm,0mm,0mm">
                <w:txbxContent>
                  <w:p>
                    <w:pPr>
                      <w:pStyle w:val="63"/>
                      <w:rPr>
                        <w:rStyle w:val="33"/>
                        <w:bCs/>
                        <w:spacing w:val="2"/>
                        <w:w w:val="100"/>
                      </w:rPr>
                    </w:pPr>
                    <w:r>
                      <w:rPr>
                        <w:rStyle w:val="33"/>
                        <w:bCs/>
                        <w:spacing w:val="2"/>
                        <w:w w:val="100"/>
                      </w:rPr>
                      <w:t>Dürr Systems AG</w:t>
                    </w:r>
                  </w:p>
                  <w:p>
                    <w:pPr>
                      <w:pStyle w:val="63"/>
                    </w:pPr>
                    <w:r>
                      <w:t>Carl-Benz-Str. 34</w:t>
                    </w:r>
                  </w:p>
                  <w:p>
                    <w:pPr>
                      <w:pStyle w:val="63"/>
                    </w:pPr>
                    <w:r>
                      <w:t>74321 Bietigheim-Bissingen</w:t>
                    </w:r>
                  </w:p>
                  <w:p>
                    <w:pPr>
                      <w:pStyle w:val="63"/>
                    </w:pPr>
                  </w:p>
                  <w:p>
                    <w:pPr>
                      <w:pStyle w:val="63"/>
                    </w:pPr>
                    <w:r>
                      <w:t xml:space="preserve">Phone: +49 7142 78-0 </w:t>
                    </w:r>
                  </w:p>
                  <w:p>
                    <w:pPr>
                      <w:pStyle w:val="63"/>
                    </w:pPr>
                    <w:r>
                      <w:t xml:space="preserve">Fax: +49 7142 78-2107 </w:t>
                    </w:r>
                  </w:p>
                  <w:p>
                    <w:pPr>
                      <w:pStyle w:val="63"/>
                    </w:pPr>
                  </w:p>
                  <w:p>
                    <w:pPr>
                      <w:pStyle w:val="63"/>
                    </w:pPr>
                    <w:r>
                      <w:t xml:space="preserve">info@durr.com </w:t>
                    </w:r>
                  </w:p>
                  <w:p>
                    <w:pPr>
                      <w:pStyle w:val="63"/>
                      <w:rPr>
                        <w:lang w:val="en-US"/>
                      </w:rPr>
                    </w:pPr>
                    <w:r>
                      <w:rPr>
                        <w:lang w:val="en-US"/>
                      </w:rPr>
                      <w:t>www.durr.com</w:t>
                    </w:r>
                  </w:p>
                </w:txbxContent>
              </v:textbox>
            </v:shape>
          </w:pict>
        </mc:Fallback>
      </mc:AlternateContent>
    </w:r>
    <w:r>
      <w:drawing>
        <wp:anchor distT="0" distB="0" distL="114300" distR="114300" simplePos="0" relativeHeight="251662336" behindDoc="0" locked="1" layoutInCell="1" allowOverlap="1">
          <wp:simplePos x="0" y="0"/>
          <wp:positionH relativeFrom="page">
            <wp:posOffset>6101715</wp:posOffset>
          </wp:positionH>
          <wp:positionV relativeFrom="page">
            <wp:posOffset>440055</wp:posOffset>
          </wp:positionV>
          <wp:extent cx="1061720" cy="503555"/>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24"/>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Pr>
  </w:p>
  <w:p>
    <w:pPr>
      <w:pStyle w:val="19"/>
    </w:pPr>
    <w:r>
      <w:drawing>
        <wp:anchor distT="0" distB="0" distL="114300" distR="114300" simplePos="0" relativeHeight="251661312" behindDoc="0" locked="0" layoutInCell="1" allowOverlap="1">
          <wp:simplePos x="0" y="0"/>
          <wp:positionH relativeFrom="page">
            <wp:posOffset>408940</wp:posOffset>
          </wp:positionH>
          <wp:positionV relativeFrom="page">
            <wp:posOffset>492760</wp:posOffset>
          </wp:positionV>
          <wp:extent cx="781050" cy="403225"/>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7" descr="Ein Bild, das Himmel, Flasche enthält.&#10;&#10;Automatisch generierte Beschreibung"/>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anchor>
      </w:drawing>
    </w:r>
    <w:r>
      <w:drawing>
        <wp:anchor distT="0" distB="0" distL="114300" distR="114300" simplePos="0" relativeHeight="251660288" behindDoc="0" locked="1" layoutInCell="1" allowOverlap="1">
          <wp:simplePos x="0" y="0"/>
          <wp:positionH relativeFrom="page">
            <wp:posOffset>6101715</wp:posOffset>
          </wp:positionH>
          <wp:positionV relativeFrom="page">
            <wp:posOffset>440055</wp:posOffset>
          </wp:positionV>
          <wp:extent cx="1061720" cy="503555"/>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28"/>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anchor>
      </w:drawing>
    </w:r>
  </w:p>
  <w:p>
    <w:pPr>
      <w:pStyle w:val="19"/>
    </w:pPr>
  </w:p>
  <w:p>
    <w:pPr>
      <w:pStyle w:val="19"/>
    </w:pPr>
  </w:p>
  <w:p>
    <w:pPr>
      <w:pStyle w:val="19"/>
    </w:pPr>
  </w:p>
  <w:p/>
  <w:p>
    <w:r>
      <w:rPr>
        <w:lang w:eastAsia="de-DE"/>
      </w:rPr>
      <mc:AlternateContent>
        <mc:Choice Requires="wps">
          <w:drawing>
            <wp:anchor distT="0" distB="0" distL="114300" distR="114300" simplePos="0" relativeHeight="251663360" behindDoc="1" locked="0" layoutInCell="1" allowOverlap="1">
              <wp:simplePos x="0" y="0"/>
              <wp:positionH relativeFrom="page">
                <wp:posOffset>6090920</wp:posOffset>
              </wp:positionH>
              <wp:positionV relativeFrom="page">
                <wp:posOffset>4069080</wp:posOffset>
              </wp:positionV>
              <wp:extent cx="1259840" cy="60985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pPr>
                            <w:pStyle w:val="63"/>
                            <w:rPr>
                              <w:rStyle w:val="33"/>
                              <w:bCs/>
                              <w:spacing w:val="2"/>
                              <w:w w:val="100"/>
                            </w:rPr>
                          </w:pPr>
                          <w:r>
                            <w:rPr>
                              <w:rStyle w:val="33"/>
                              <w:bCs/>
                              <w:spacing w:val="2"/>
                              <w:w w:val="100"/>
                            </w:rPr>
                            <w:t>Dürr Systems AG</w:t>
                          </w:r>
                        </w:p>
                        <w:p>
                          <w:pPr>
                            <w:pStyle w:val="63"/>
                          </w:pPr>
                          <w:r>
                            <w:t>Carl-Benz-Str. 34</w:t>
                          </w:r>
                        </w:p>
                        <w:p>
                          <w:pPr>
                            <w:pStyle w:val="63"/>
                          </w:pPr>
                          <w:r>
                            <w:t>74321 Bietigheim-Bissingen</w:t>
                          </w:r>
                        </w:p>
                        <w:p>
                          <w:pPr>
                            <w:pStyle w:val="63"/>
                          </w:pPr>
                        </w:p>
                        <w:p>
                          <w:pPr>
                            <w:pStyle w:val="63"/>
                          </w:pPr>
                          <w:r>
                            <w:t xml:space="preserve">Phone: +49 7142 78-0 </w:t>
                          </w:r>
                        </w:p>
                        <w:p>
                          <w:pPr>
                            <w:pStyle w:val="63"/>
                          </w:pPr>
                          <w:r>
                            <w:t xml:space="preserve">Fax: +49 7142 78-2107 </w:t>
                          </w:r>
                        </w:p>
                        <w:p>
                          <w:pPr>
                            <w:pStyle w:val="63"/>
                          </w:pPr>
                        </w:p>
                        <w:p>
                          <w:pPr>
                            <w:pStyle w:val="63"/>
                          </w:pPr>
                          <w:r>
                            <w:t xml:space="preserve">info@durr.com </w:t>
                          </w:r>
                        </w:p>
                        <w:p>
                          <w:pPr>
                            <w:pStyle w:val="63"/>
                            <w:rPr>
                              <w:lang w:val="en-US"/>
                            </w:rPr>
                          </w:pPr>
                          <w:r>
                            <w:rPr>
                              <w:lang w:val="en-US"/>
                            </w:rPr>
                            <w:t>www.durr.com</w:t>
                          </w:r>
                        </w:p>
                      </w:txbxContent>
                    </wps:txbx>
                    <wps:bodyPr rot="0" spcFirstLastPara="0" vertOverflow="overflow" horzOverflow="overflow" vert="horz" wrap="square" lIns="0" tIns="0" rIns="0" bIns="0" numCol="1" spcCol="0" rtlCol="0" fromWordArt="0" anchor="b" anchorCtr="0" forceAA="0" compatLnSpc="1">
                      <a:noAutofit/>
                    </wps:bodyPr>
                  </wps:wsp>
                </a:graphicData>
              </a:graphic>
            </wp:anchor>
          </w:drawing>
        </mc:Choice>
        <mc:Fallback>
          <w:pict>
            <v:shape id="Textfeld 10" o:spid="_x0000_s1026" o:spt="202" type="#_x0000_t202" style="position:absolute;left:0pt;margin-left:479.6pt;margin-top:320.4pt;height:480.2pt;width:99.2pt;mso-position-horizontal-relative:page;mso-position-vertical-relative:page;z-index:-251653120;v-text-anchor:bottom;mso-width-relative:page;mso-height-relative:page;" filled="f" stroked="f" coordsize="21600,21600" o:gfxdata="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DP2twAAAANAQAADwAAAAAAAAABACAAAAAiAAAAZHJzL2Rvd25yZXYueG1sUEsBAhQAFAAAAAgA&#10;h07iQJJvuNchAgAAWAQAAA4AAAAAAAAAAQAgAAAAKwEAAGRycy9lMm9Eb2MueG1sUEsFBgAAAAAG&#10;AAYAWQEAAL4FAAAAAA==&#10;">
              <v:fill on="f" focussize="0,0"/>
              <v:stroke on="f" weight="0.5pt"/>
              <v:imagedata o:title=""/>
              <o:lock v:ext="edit" aspectratio="f"/>
              <v:textbox inset="0mm,0mm,0mm,0mm">
                <w:txbxContent>
                  <w:p>
                    <w:pPr>
                      <w:pStyle w:val="63"/>
                      <w:rPr>
                        <w:rStyle w:val="33"/>
                        <w:bCs/>
                        <w:spacing w:val="2"/>
                        <w:w w:val="100"/>
                      </w:rPr>
                    </w:pPr>
                    <w:r>
                      <w:rPr>
                        <w:rStyle w:val="33"/>
                        <w:bCs/>
                        <w:spacing w:val="2"/>
                        <w:w w:val="100"/>
                      </w:rPr>
                      <w:t>Dürr Systems AG</w:t>
                    </w:r>
                  </w:p>
                  <w:p>
                    <w:pPr>
                      <w:pStyle w:val="63"/>
                    </w:pPr>
                    <w:r>
                      <w:t>Carl-Benz-Str. 34</w:t>
                    </w:r>
                  </w:p>
                  <w:p>
                    <w:pPr>
                      <w:pStyle w:val="63"/>
                    </w:pPr>
                    <w:r>
                      <w:t>74321 Bietigheim-Bissingen</w:t>
                    </w:r>
                  </w:p>
                  <w:p>
                    <w:pPr>
                      <w:pStyle w:val="63"/>
                    </w:pPr>
                  </w:p>
                  <w:p>
                    <w:pPr>
                      <w:pStyle w:val="63"/>
                    </w:pPr>
                    <w:r>
                      <w:t xml:space="preserve">Phone: +49 7142 78-0 </w:t>
                    </w:r>
                  </w:p>
                  <w:p>
                    <w:pPr>
                      <w:pStyle w:val="63"/>
                    </w:pPr>
                    <w:r>
                      <w:t xml:space="preserve">Fax: +49 7142 78-2107 </w:t>
                    </w:r>
                  </w:p>
                  <w:p>
                    <w:pPr>
                      <w:pStyle w:val="63"/>
                    </w:pPr>
                  </w:p>
                  <w:p>
                    <w:pPr>
                      <w:pStyle w:val="63"/>
                    </w:pPr>
                    <w:r>
                      <w:t xml:space="preserve">info@durr.com </w:t>
                    </w:r>
                  </w:p>
                  <w:p>
                    <w:pPr>
                      <w:pStyle w:val="63"/>
                      <w:rPr>
                        <w:lang w:val="en-US"/>
                      </w:rPr>
                    </w:pPr>
                    <w:r>
                      <w:rPr>
                        <w:lang w:val="en-US"/>
                      </w:rPr>
                      <w:t>www.durr.com</w:t>
                    </w: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35B035F"/>
    <w:multiLevelType w:val="multilevel"/>
    <w:tmpl w:val="235B035F"/>
    <w:lvl w:ilvl="0" w:tentative="0">
      <w:start w:val="1"/>
      <w:numFmt w:val="bullet"/>
      <w:pStyle w:val="57"/>
      <w:lvlText w:val="–"/>
      <w:lvlJc w:val="left"/>
      <w:pPr>
        <w:tabs>
          <w:tab w:val="left" w:pos="1588"/>
        </w:tabs>
        <w:ind w:left="1814" w:hanging="226"/>
      </w:pPr>
      <w:rPr>
        <w:rFonts w:hint="default" w:ascii="Arial (Textkörper)" w:hAnsi="Arial (Textkörper)"/>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
    <w:nsid w:val="3F682B00"/>
    <w:multiLevelType w:val="multilevel"/>
    <w:tmpl w:val="3F682B00"/>
    <w:lvl w:ilvl="0" w:tentative="0">
      <w:start w:val="1"/>
      <w:numFmt w:val="bullet"/>
      <w:lvlText w:val=""/>
      <w:lvlJc w:val="left"/>
      <w:pPr>
        <w:ind w:left="360" w:hanging="360"/>
      </w:pPr>
      <w:rPr>
        <w:rFonts w:hint="default" w:ascii="Symbol" w:hAnsi="Symbol"/>
      </w:rPr>
    </w:lvl>
    <w:lvl w:ilvl="1" w:tentative="0">
      <w:start w:val="1"/>
      <w:numFmt w:val="bullet"/>
      <w:lvlText w:val="o"/>
      <w:lvlJc w:val="left"/>
      <w:pPr>
        <w:ind w:left="1080" w:hanging="360"/>
      </w:pPr>
      <w:rPr>
        <w:rFonts w:hint="default" w:ascii="Courier New" w:hAnsi="Courier New" w:cs="Courier New"/>
      </w:rPr>
    </w:lvl>
    <w:lvl w:ilvl="2" w:tentative="0">
      <w:start w:val="1"/>
      <w:numFmt w:val="bullet"/>
      <w:lvlText w:val=""/>
      <w:lvlJc w:val="left"/>
      <w:pPr>
        <w:ind w:left="1800" w:hanging="360"/>
      </w:pPr>
      <w:rPr>
        <w:rFonts w:hint="default" w:ascii="Wingdings" w:hAnsi="Wingdings"/>
      </w:rPr>
    </w:lvl>
    <w:lvl w:ilvl="3" w:tentative="0">
      <w:start w:val="1"/>
      <w:numFmt w:val="bullet"/>
      <w:lvlText w:val=""/>
      <w:lvlJc w:val="left"/>
      <w:pPr>
        <w:ind w:left="2520" w:hanging="360"/>
      </w:pPr>
      <w:rPr>
        <w:rFonts w:hint="default" w:ascii="Symbol" w:hAnsi="Symbol"/>
      </w:rPr>
    </w:lvl>
    <w:lvl w:ilvl="4" w:tentative="0">
      <w:start w:val="1"/>
      <w:numFmt w:val="bullet"/>
      <w:lvlText w:val="o"/>
      <w:lvlJc w:val="left"/>
      <w:pPr>
        <w:ind w:left="3240" w:hanging="360"/>
      </w:pPr>
      <w:rPr>
        <w:rFonts w:hint="default" w:ascii="Courier New" w:hAnsi="Courier New" w:cs="Courier New"/>
      </w:rPr>
    </w:lvl>
    <w:lvl w:ilvl="5" w:tentative="0">
      <w:start w:val="1"/>
      <w:numFmt w:val="bullet"/>
      <w:lvlText w:val=""/>
      <w:lvlJc w:val="left"/>
      <w:pPr>
        <w:ind w:left="3960" w:hanging="360"/>
      </w:pPr>
      <w:rPr>
        <w:rFonts w:hint="default" w:ascii="Wingdings" w:hAnsi="Wingdings"/>
      </w:rPr>
    </w:lvl>
    <w:lvl w:ilvl="6" w:tentative="0">
      <w:start w:val="1"/>
      <w:numFmt w:val="bullet"/>
      <w:lvlText w:val=""/>
      <w:lvlJc w:val="left"/>
      <w:pPr>
        <w:ind w:left="4680" w:hanging="360"/>
      </w:pPr>
      <w:rPr>
        <w:rFonts w:hint="default" w:ascii="Symbol" w:hAnsi="Symbol"/>
      </w:rPr>
    </w:lvl>
    <w:lvl w:ilvl="7" w:tentative="0">
      <w:start w:val="1"/>
      <w:numFmt w:val="bullet"/>
      <w:lvlText w:val="o"/>
      <w:lvlJc w:val="left"/>
      <w:pPr>
        <w:ind w:left="5400" w:hanging="360"/>
      </w:pPr>
      <w:rPr>
        <w:rFonts w:hint="default" w:ascii="Courier New" w:hAnsi="Courier New" w:cs="Courier New"/>
      </w:rPr>
    </w:lvl>
    <w:lvl w:ilvl="8" w:tentative="0">
      <w:start w:val="1"/>
      <w:numFmt w:val="bullet"/>
      <w:lvlText w:val=""/>
      <w:lvlJc w:val="left"/>
      <w:pPr>
        <w:ind w:left="6120" w:hanging="360"/>
      </w:pPr>
      <w:rPr>
        <w:rFonts w:hint="default" w:ascii="Wingdings" w:hAnsi="Wingdings"/>
      </w:rPr>
    </w:lvl>
  </w:abstractNum>
  <w:abstractNum w:abstractNumId="2">
    <w:nsid w:val="51DE7883"/>
    <w:multiLevelType w:val="multilevel"/>
    <w:tmpl w:val="51DE7883"/>
    <w:lvl w:ilvl="0" w:tentative="0">
      <w:start w:val="1"/>
      <w:numFmt w:val="bullet"/>
      <w:pStyle w:val="49"/>
      <w:lvlText w:val=""/>
      <w:lvlJc w:val="left"/>
      <w:pPr>
        <w:tabs>
          <w:tab w:val="left" w:pos="284"/>
        </w:tabs>
        <w:ind w:left="284" w:hanging="284"/>
      </w:pPr>
      <w:rPr>
        <w:rFonts w:hint="default" w:ascii="Wingdings" w:hAnsi="Wingdings"/>
        <w:b/>
        <w:i w:val="0"/>
        <w:color w:val="323232"/>
        <w:sz w:val="18"/>
        <w:u w:color="000000"/>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3">
    <w:nsid w:val="627B6538"/>
    <w:multiLevelType w:val="multilevel"/>
    <w:tmpl w:val="627B6538"/>
    <w:lvl w:ilvl="0" w:tentative="0">
      <w:start w:val="1"/>
      <w:numFmt w:val="decimal"/>
      <w:pStyle w:val="58"/>
      <w:lvlText w:val="%1"/>
      <w:lvlJc w:val="left"/>
      <w:pPr>
        <w:tabs>
          <w:tab w:val="left" w:pos="227"/>
        </w:tabs>
        <w:ind w:left="227" w:hanging="227"/>
      </w:pPr>
      <w:rPr>
        <w:rFonts w:hint="default" w:ascii="Arial" w:hAnsi="Arial"/>
        <w:b w:val="0"/>
        <w:i w:val="0"/>
        <w:color w:val="000000"/>
        <w:sz w:val="20"/>
        <w:u w:val="none"/>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4">
    <w:nsid w:val="7B77477C"/>
    <w:multiLevelType w:val="multilevel"/>
    <w:tmpl w:val="7B77477C"/>
    <w:lvl w:ilvl="0" w:tentative="0">
      <w:start w:val="1"/>
      <w:numFmt w:val="decimal"/>
      <w:pStyle w:val="2"/>
      <w:lvlText w:val="%1"/>
      <w:lvlJc w:val="left"/>
      <w:pPr>
        <w:tabs>
          <w:tab w:val="left" w:pos="1021"/>
        </w:tabs>
        <w:ind w:left="1021" w:hanging="1021"/>
      </w:pPr>
      <w:rPr>
        <w:rFonts w:hint="default"/>
      </w:rPr>
    </w:lvl>
    <w:lvl w:ilvl="1" w:tentative="0">
      <w:start w:val="1"/>
      <w:numFmt w:val="decimal"/>
      <w:pStyle w:val="3"/>
      <w:lvlText w:val="%1.%2"/>
      <w:lvlJc w:val="left"/>
      <w:pPr>
        <w:ind w:left="576" w:hanging="576"/>
      </w:pPr>
      <w:rPr>
        <w:rFonts w:hint="default"/>
      </w:rPr>
    </w:lvl>
    <w:lvl w:ilvl="2" w:tentative="0">
      <w:start w:val="1"/>
      <w:numFmt w:val="decimal"/>
      <w:pStyle w:val="5"/>
      <w:lvlText w:val="%1.%2.%3"/>
      <w:lvlJc w:val="left"/>
      <w:pPr>
        <w:ind w:left="720" w:hanging="720"/>
      </w:pPr>
      <w:rPr>
        <w:rFonts w:hint="default"/>
      </w:rPr>
    </w:lvl>
    <w:lvl w:ilvl="3" w:tentative="0">
      <w:start w:val="1"/>
      <w:numFmt w:val="decimal"/>
      <w:pStyle w:val="6"/>
      <w:lvlText w:val="%1.%2.%3.%4"/>
      <w:lvlJc w:val="left"/>
      <w:pPr>
        <w:ind w:left="864" w:hanging="864"/>
      </w:pPr>
      <w:rPr>
        <w:rFonts w:hint="default"/>
      </w:rPr>
    </w:lvl>
    <w:lvl w:ilvl="4" w:tentative="0">
      <w:start w:val="1"/>
      <w:numFmt w:val="decimal"/>
      <w:pStyle w:val="7"/>
      <w:lvlText w:val="%1.%2.%3.%4.%5"/>
      <w:lvlJc w:val="left"/>
      <w:pPr>
        <w:ind w:left="1008" w:hanging="1008"/>
      </w:pPr>
      <w:rPr>
        <w:rFonts w:hint="default"/>
      </w:rPr>
    </w:lvl>
    <w:lvl w:ilvl="5" w:tentative="0">
      <w:start w:val="1"/>
      <w:numFmt w:val="decimal"/>
      <w:pStyle w:val="8"/>
      <w:lvlText w:val="%1.%2.%3.%4.%5.%6"/>
      <w:lvlJc w:val="left"/>
      <w:pPr>
        <w:ind w:left="1152" w:hanging="1152"/>
      </w:pPr>
      <w:rPr>
        <w:rFonts w:hint="default"/>
      </w:rPr>
    </w:lvl>
    <w:lvl w:ilvl="6" w:tentative="0">
      <w:start w:val="1"/>
      <w:numFmt w:val="decimal"/>
      <w:pStyle w:val="9"/>
      <w:lvlText w:val="%1.%2.%3.%4.%5.%6.%7"/>
      <w:lvlJc w:val="left"/>
      <w:pPr>
        <w:ind w:left="1296" w:hanging="1296"/>
      </w:pPr>
      <w:rPr>
        <w:rFonts w:hint="default"/>
      </w:rPr>
    </w:lvl>
    <w:lvl w:ilvl="7" w:tentative="0">
      <w:start w:val="1"/>
      <w:numFmt w:val="decimal"/>
      <w:pStyle w:val="10"/>
      <w:lvlText w:val="%1.%2.%3.%4.%5.%6.%7.%8"/>
      <w:lvlJc w:val="left"/>
      <w:pPr>
        <w:ind w:left="1440" w:hanging="1440"/>
      </w:pPr>
      <w:rPr>
        <w:rFonts w:hint="default"/>
      </w:rPr>
    </w:lvl>
    <w:lvl w:ilvl="8" w:tentative="0">
      <w:start w:val="1"/>
      <w:numFmt w:val="decimal"/>
      <w:pStyle w:val="11"/>
      <w:lvlText w:val="%1.%2.%3.%4.%5.%6.%7.%8.%9"/>
      <w:lvlJc w:val="left"/>
      <w:pPr>
        <w:ind w:left="1584" w:hanging="1584"/>
      </w:pPr>
      <w:rPr>
        <w:rFonts w:hint="default"/>
      </w:rPr>
    </w:lvl>
  </w:abstractNum>
  <w:num w:numId="1">
    <w:abstractNumId w:val="4"/>
  </w:num>
  <w:num w:numId="2">
    <w:abstractNumId w:val="2"/>
  </w:num>
  <w:num w:numId="3">
    <w:abstractNumId w:val="0"/>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nforcement="0"/>
  <w:defaultTabStop w:val="709"/>
  <w:hyphenationZone w:val="425"/>
  <w:characterSpacingControl w:val="doNotCompress"/>
  <w:footnotePr>
    <w:footnote w:id="0"/>
    <w:footnote w:id="1"/>
  </w:footnotePr>
  <w:endnotePr>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43FE"/>
    <w:rsid w:val="000042E4"/>
    <w:rsid w:val="00004D92"/>
    <w:rsid w:val="00005AF4"/>
    <w:rsid w:val="0001039C"/>
    <w:rsid w:val="000137F9"/>
    <w:rsid w:val="00013B23"/>
    <w:rsid w:val="00015F92"/>
    <w:rsid w:val="0002071A"/>
    <w:rsid w:val="0002273A"/>
    <w:rsid w:val="00026B8C"/>
    <w:rsid w:val="00030020"/>
    <w:rsid w:val="00030C1A"/>
    <w:rsid w:val="0003543C"/>
    <w:rsid w:val="00036336"/>
    <w:rsid w:val="00037BB3"/>
    <w:rsid w:val="00037FF7"/>
    <w:rsid w:val="00040FEA"/>
    <w:rsid w:val="0004140A"/>
    <w:rsid w:val="000424B3"/>
    <w:rsid w:val="000436AB"/>
    <w:rsid w:val="00046E38"/>
    <w:rsid w:val="00053EFC"/>
    <w:rsid w:val="000557D8"/>
    <w:rsid w:val="00062BC6"/>
    <w:rsid w:val="00062C8E"/>
    <w:rsid w:val="00064547"/>
    <w:rsid w:val="0006654A"/>
    <w:rsid w:val="000667BB"/>
    <w:rsid w:val="000679B5"/>
    <w:rsid w:val="00067A27"/>
    <w:rsid w:val="00073211"/>
    <w:rsid w:val="000750E4"/>
    <w:rsid w:val="00076F35"/>
    <w:rsid w:val="00077087"/>
    <w:rsid w:val="000830E8"/>
    <w:rsid w:val="000848AC"/>
    <w:rsid w:val="000869BC"/>
    <w:rsid w:val="00090C8B"/>
    <w:rsid w:val="00094D6C"/>
    <w:rsid w:val="00095C2C"/>
    <w:rsid w:val="00095F60"/>
    <w:rsid w:val="00097770"/>
    <w:rsid w:val="00097924"/>
    <w:rsid w:val="000A0BBC"/>
    <w:rsid w:val="000A6420"/>
    <w:rsid w:val="000A7250"/>
    <w:rsid w:val="000A779F"/>
    <w:rsid w:val="000A799A"/>
    <w:rsid w:val="000B122D"/>
    <w:rsid w:val="000B17AC"/>
    <w:rsid w:val="000B6E58"/>
    <w:rsid w:val="000C009A"/>
    <w:rsid w:val="000C1A5C"/>
    <w:rsid w:val="000C2A85"/>
    <w:rsid w:val="000C3AF3"/>
    <w:rsid w:val="000C3DD4"/>
    <w:rsid w:val="000C74C8"/>
    <w:rsid w:val="000D1867"/>
    <w:rsid w:val="000D4047"/>
    <w:rsid w:val="000E0A2E"/>
    <w:rsid w:val="000E0A85"/>
    <w:rsid w:val="000E79A2"/>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2C9A"/>
    <w:rsid w:val="00135319"/>
    <w:rsid w:val="00142FDB"/>
    <w:rsid w:val="001440F5"/>
    <w:rsid w:val="00147965"/>
    <w:rsid w:val="0015096A"/>
    <w:rsid w:val="00151506"/>
    <w:rsid w:val="00156161"/>
    <w:rsid w:val="0016271C"/>
    <w:rsid w:val="00162EEF"/>
    <w:rsid w:val="0016325F"/>
    <w:rsid w:val="00163524"/>
    <w:rsid w:val="00163B9D"/>
    <w:rsid w:val="00176D8A"/>
    <w:rsid w:val="00180D0F"/>
    <w:rsid w:val="001861ED"/>
    <w:rsid w:val="001877A6"/>
    <w:rsid w:val="001935AE"/>
    <w:rsid w:val="00194AC6"/>
    <w:rsid w:val="00197009"/>
    <w:rsid w:val="001975A2"/>
    <w:rsid w:val="001A297C"/>
    <w:rsid w:val="001A5B15"/>
    <w:rsid w:val="001A65EE"/>
    <w:rsid w:val="001C0A26"/>
    <w:rsid w:val="001C0A39"/>
    <w:rsid w:val="001C5EB3"/>
    <w:rsid w:val="001D0887"/>
    <w:rsid w:val="001D0F2E"/>
    <w:rsid w:val="001D52F2"/>
    <w:rsid w:val="001D697E"/>
    <w:rsid w:val="001D776F"/>
    <w:rsid w:val="001F3730"/>
    <w:rsid w:val="001F6276"/>
    <w:rsid w:val="001F7E95"/>
    <w:rsid w:val="0020322F"/>
    <w:rsid w:val="00205B62"/>
    <w:rsid w:val="0020631B"/>
    <w:rsid w:val="00206375"/>
    <w:rsid w:val="002118EB"/>
    <w:rsid w:val="00214679"/>
    <w:rsid w:val="00216BD0"/>
    <w:rsid w:val="00216FC6"/>
    <w:rsid w:val="002176DB"/>
    <w:rsid w:val="00226865"/>
    <w:rsid w:val="00231365"/>
    <w:rsid w:val="00231A54"/>
    <w:rsid w:val="0023323E"/>
    <w:rsid w:val="00234644"/>
    <w:rsid w:val="00234C7F"/>
    <w:rsid w:val="0023563A"/>
    <w:rsid w:val="00243F9B"/>
    <w:rsid w:val="00252189"/>
    <w:rsid w:val="0025441C"/>
    <w:rsid w:val="0026127D"/>
    <w:rsid w:val="002655A1"/>
    <w:rsid w:val="002714A1"/>
    <w:rsid w:val="002717A8"/>
    <w:rsid w:val="002736C0"/>
    <w:rsid w:val="00275350"/>
    <w:rsid w:val="0027658F"/>
    <w:rsid w:val="00280819"/>
    <w:rsid w:val="00282680"/>
    <w:rsid w:val="00284C18"/>
    <w:rsid w:val="002912FC"/>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C7832"/>
    <w:rsid w:val="002D0F47"/>
    <w:rsid w:val="002D2E6A"/>
    <w:rsid w:val="002D33B7"/>
    <w:rsid w:val="002D41ED"/>
    <w:rsid w:val="002D4939"/>
    <w:rsid w:val="002D506A"/>
    <w:rsid w:val="002D60E0"/>
    <w:rsid w:val="002D7EB6"/>
    <w:rsid w:val="002E0547"/>
    <w:rsid w:val="002E2125"/>
    <w:rsid w:val="002E5809"/>
    <w:rsid w:val="002F6BF1"/>
    <w:rsid w:val="002F7140"/>
    <w:rsid w:val="002F79A7"/>
    <w:rsid w:val="0030067C"/>
    <w:rsid w:val="00302DB1"/>
    <w:rsid w:val="003035A6"/>
    <w:rsid w:val="00314FF3"/>
    <w:rsid w:val="003260F6"/>
    <w:rsid w:val="003268C5"/>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1CDC"/>
    <w:rsid w:val="00373E56"/>
    <w:rsid w:val="00375576"/>
    <w:rsid w:val="00375D1A"/>
    <w:rsid w:val="00377F31"/>
    <w:rsid w:val="003849ED"/>
    <w:rsid w:val="0039367F"/>
    <w:rsid w:val="00393A6B"/>
    <w:rsid w:val="00395574"/>
    <w:rsid w:val="00395BF6"/>
    <w:rsid w:val="0039654F"/>
    <w:rsid w:val="0039780E"/>
    <w:rsid w:val="003A046C"/>
    <w:rsid w:val="003A261E"/>
    <w:rsid w:val="003A2989"/>
    <w:rsid w:val="003A3635"/>
    <w:rsid w:val="003A4491"/>
    <w:rsid w:val="003A692D"/>
    <w:rsid w:val="003B0692"/>
    <w:rsid w:val="003B160B"/>
    <w:rsid w:val="003B1684"/>
    <w:rsid w:val="003B35BB"/>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14CC6"/>
    <w:rsid w:val="00416CB9"/>
    <w:rsid w:val="00424A3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5522"/>
    <w:rsid w:val="004667BA"/>
    <w:rsid w:val="00466954"/>
    <w:rsid w:val="00467800"/>
    <w:rsid w:val="00470EFD"/>
    <w:rsid w:val="00473AEC"/>
    <w:rsid w:val="00476060"/>
    <w:rsid w:val="004762B9"/>
    <w:rsid w:val="0047652B"/>
    <w:rsid w:val="00476746"/>
    <w:rsid w:val="0047720E"/>
    <w:rsid w:val="00477801"/>
    <w:rsid w:val="00482E0E"/>
    <w:rsid w:val="004864EA"/>
    <w:rsid w:val="00486572"/>
    <w:rsid w:val="00486F5D"/>
    <w:rsid w:val="00494EE7"/>
    <w:rsid w:val="004A3A5F"/>
    <w:rsid w:val="004A4FFA"/>
    <w:rsid w:val="004B3D7E"/>
    <w:rsid w:val="004C6EBC"/>
    <w:rsid w:val="004D1D0E"/>
    <w:rsid w:val="004D3165"/>
    <w:rsid w:val="004D39E2"/>
    <w:rsid w:val="004D72A3"/>
    <w:rsid w:val="004D7B9E"/>
    <w:rsid w:val="004E0D94"/>
    <w:rsid w:val="004E1F1A"/>
    <w:rsid w:val="004E2175"/>
    <w:rsid w:val="004E3872"/>
    <w:rsid w:val="004E5E7F"/>
    <w:rsid w:val="004E7C0B"/>
    <w:rsid w:val="004F206E"/>
    <w:rsid w:val="004F2A79"/>
    <w:rsid w:val="004F39B4"/>
    <w:rsid w:val="004F3E59"/>
    <w:rsid w:val="004F4E97"/>
    <w:rsid w:val="004F50F4"/>
    <w:rsid w:val="004F5AB4"/>
    <w:rsid w:val="004F639D"/>
    <w:rsid w:val="004F65B3"/>
    <w:rsid w:val="004F6D74"/>
    <w:rsid w:val="0050056C"/>
    <w:rsid w:val="00502807"/>
    <w:rsid w:val="00505786"/>
    <w:rsid w:val="00506BD5"/>
    <w:rsid w:val="00510FF5"/>
    <w:rsid w:val="00511067"/>
    <w:rsid w:val="00513534"/>
    <w:rsid w:val="0051492B"/>
    <w:rsid w:val="00515153"/>
    <w:rsid w:val="00520BFA"/>
    <w:rsid w:val="00521429"/>
    <w:rsid w:val="005218C8"/>
    <w:rsid w:val="00521CF5"/>
    <w:rsid w:val="00521FD5"/>
    <w:rsid w:val="00524BE9"/>
    <w:rsid w:val="00532304"/>
    <w:rsid w:val="0053448B"/>
    <w:rsid w:val="00534C1A"/>
    <w:rsid w:val="005365B4"/>
    <w:rsid w:val="00537C1F"/>
    <w:rsid w:val="0054450D"/>
    <w:rsid w:val="00545276"/>
    <w:rsid w:val="00554864"/>
    <w:rsid w:val="00555999"/>
    <w:rsid w:val="00555E2A"/>
    <w:rsid w:val="00564109"/>
    <w:rsid w:val="00566FE2"/>
    <w:rsid w:val="005673B5"/>
    <w:rsid w:val="005674E8"/>
    <w:rsid w:val="005755BD"/>
    <w:rsid w:val="00580070"/>
    <w:rsid w:val="00581C8C"/>
    <w:rsid w:val="005837F9"/>
    <w:rsid w:val="00584007"/>
    <w:rsid w:val="00584858"/>
    <w:rsid w:val="00584B9D"/>
    <w:rsid w:val="0058673A"/>
    <w:rsid w:val="00587179"/>
    <w:rsid w:val="005913CF"/>
    <w:rsid w:val="00591CEB"/>
    <w:rsid w:val="00592D83"/>
    <w:rsid w:val="00593AA7"/>
    <w:rsid w:val="00594B29"/>
    <w:rsid w:val="00597DFC"/>
    <w:rsid w:val="00597F78"/>
    <w:rsid w:val="005A0F77"/>
    <w:rsid w:val="005A1C80"/>
    <w:rsid w:val="005A5E2E"/>
    <w:rsid w:val="005A795B"/>
    <w:rsid w:val="005B01C4"/>
    <w:rsid w:val="005B184A"/>
    <w:rsid w:val="005B19FD"/>
    <w:rsid w:val="005B34DA"/>
    <w:rsid w:val="005B3CCD"/>
    <w:rsid w:val="005C13A1"/>
    <w:rsid w:val="005C2EAA"/>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5147"/>
    <w:rsid w:val="00626A28"/>
    <w:rsid w:val="006311E0"/>
    <w:rsid w:val="00632F11"/>
    <w:rsid w:val="006351D9"/>
    <w:rsid w:val="00635ABF"/>
    <w:rsid w:val="006401F7"/>
    <w:rsid w:val="00641F88"/>
    <w:rsid w:val="006438A8"/>
    <w:rsid w:val="00643A04"/>
    <w:rsid w:val="0064408D"/>
    <w:rsid w:val="006449CA"/>
    <w:rsid w:val="00645074"/>
    <w:rsid w:val="00661476"/>
    <w:rsid w:val="00664318"/>
    <w:rsid w:val="0066573F"/>
    <w:rsid w:val="006673F5"/>
    <w:rsid w:val="00670E84"/>
    <w:rsid w:val="00674DB7"/>
    <w:rsid w:val="006806C4"/>
    <w:rsid w:val="0068106C"/>
    <w:rsid w:val="00681ECE"/>
    <w:rsid w:val="00683E9E"/>
    <w:rsid w:val="0068636E"/>
    <w:rsid w:val="00687C99"/>
    <w:rsid w:val="00691B0A"/>
    <w:rsid w:val="00691F9E"/>
    <w:rsid w:val="00693F4B"/>
    <w:rsid w:val="00695F99"/>
    <w:rsid w:val="006A5A75"/>
    <w:rsid w:val="006A6348"/>
    <w:rsid w:val="006A688E"/>
    <w:rsid w:val="006B592D"/>
    <w:rsid w:val="006B6DD8"/>
    <w:rsid w:val="006B779A"/>
    <w:rsid w:val="006C2364"/>
    <w:rsid w:val="006C2A31"/>
    <w:rsid w:val="006C2EAB"/>
    <w:rsid w:val="006C38E6"/>
    <w:rsid w:val="006C3AA3"/>
    <w:rsid w:val="006C50E1"/>
    <w:rsid w:val="006C6111"/>
    <w:rsid w:val="006D275C"/>
    <w:rsid w:val="006D3561"/>
    <w:rsid w:val="006D6C1A"/>
    <w:rsid w:val="006D7F10"/>
    <w:rsid w:val="006E2573"/>
    <w:rsid w:val="006E5C09"/>
    <w:rsid w:val="006E7FBA"/>
    <w:rsid w:val="006F0473"/>
    <w:rsid w:val="006F1A6C"/>
    <w:rsid w:val="006F2DE4"/>
    <w:rsid w:val="006F4577"/>
    <w:rsid w:val="006F4C75"/>
    <w:rsid w:val="006F4E2B"/>
    <w:rsid w:val="006F6062"/>
    <w:rsid w:val="006F66DA"/>
    <w:rsid w:val="006F6A7A"/>
    <w:rsid w:val="006F77C7"/>
    <w:rsid w:val="00705074"/>
    <w:rsid w:val="007065A6"/>
    <w:rsid w:val="00710899"/>
    <w:rsid w:val="00712070"/>
    <w:rsid w:val="007125A4"/>
    <w:rsid w:val="00713E2E"/>
    <w:rsid w:val="00716622"/>
    <w:rsid w:val="00720139"/>
    <w:rsid w:val="007226C4"/>
    <w:rsid w:val="007238F1"/>
    <w:rsid w:val="00723DE6"/>
    <w:rsid w:val="00724249"/>
    <w:rsid w:val="00726540"/>
    <w:rsid w:val="00726A89"/>
    <w:rsid w:val="00726BFA"/>
    <w:rsid w:val="00727E16"/>
    <w:rsid w:val="00734321"/>
    <w:rsid w:val="00736291"/>
    <w:rsid w:val="00744758"/>
    <w:rsid w:val="00744943"/>
    <w:rsid w:val="0074718C"/>
    <w:rsid w:val="00753908"/>
    <w:rsid w:val="00754739"/>
    <w:rsid w:val="007579FC"/>
    <w:rsid w:val="0076166B"/>
    <w:rsid w:val="0076191F"/>
    <w:rsid w:val="00762C5B"/>
    <w:rsid w:val="00771469"/>
    <w:rsid w:val="00772BCD"/>
    <w:rsid w:val="00773BF3"/>
    <w:rsid w:val="00775358"/>
    <w:rsid w:val="007769A8"/>
    <w:rsid w:val="0078405F"/>
    <w:rsid w:val="0078480F"/>
    <w:rsid w:val="00786C56"/>
    <w:rsid w:val="00794234"/>
    <w:rsid w:val="007977AC"/>
    <w:rsid w:val="007A0268"/>
    <w:rsid w:val="007A7F56"/>
    <w:rsid w:val="007C0C38"/>
    <w:rsid w:val="007C1F06"/>
    <w:rsid w:val="007C1FA4"/>
    <w:rsid w:val="007C4752"/>
    <w:rsid w:val="007C56C7"/>
    <w:rsid w:val="007C6FA7"/>
    <w:rsid w:val="007C726C"/>
    <w:rsid w:val="007C7E8E"/>
    <w:rsid w:val="007D1C32"/>
    <w:rsid w:val="007D220B"/>
    <w:rsid w:val="007D439C"/>
    <w:rsid w:val="007D49EB"/>
    <w:rsid w:val="007D5E15"/>
    <w:rsid w:val="007E1C18"/>
    <w:rsid w:val="007E4309"/>
    <w:rsid w:val="007E4D9A"/>
    <w:rsid w:val="007E54C0"/>
    <w:rsid w:val="007F402B"/>
    <w:rsid w:val="007F4972"/>
    <w:rsid w:val="007F4CF1"/>
    <w:rsid w:val="007F770C"/>
    <w:rsid w:val="00800B39"/>
    <w:rsid w:val="00803771"/>
    <w:rsid w:val="00814018"/>
    <w:rsid w:val="00814940"/>
    <w:rsid w:val="00816302"/>
    <w:rsid w:val="00817EDB"/>
    <w:rsid w:val="00821292"/>
    <w:rsid w:val="00825029"/>
    <w:rsid w:val="00826567"/>
    <w:rsid w:val="00826C30"/>
    <w:rsid w:val="00827948"/>
    <w:rsid w:val="00834D0F"/>
    <w:rsid w:val="0084222E"/>
    <w:rsid w:val="0084627F"/>
    <w:rsid w:val="008469B6"/>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339A"/>
    <w:rsid w:val="00897397"/>
    <w:rsid w:val="00897E2C"/>
    <w:rsid w:val="008A2326"/>
    <w:rsid w:val="008A5BF3"/>
    <w:rsid w:val="008A6CEC"/>
    <w:rsid w:val="008A70B7"/>
    <w:rsid w:val="008B0BF6"/>
    <w:rsid w:val="008B0D22"/>
    <w:rsid w:val="008B0DA2"/>
    <w:rsid w:val="008B0E2E"/>
    <w:rsid w:val="008B30DE"/>
    <w:rsid w:val="008B50B9"/>
    <w:rsid w:val="008B59FF"/>
    <w:rsid w:val="008C343A"/>
    <w:rsid w:val="008C4110"/>
    <w:rsid w:val="008C5157"/>
    <w:rsid w:val="008C7F2C"/>
    <w:rsid w:val="008D0426"/>
    <w:rsid w:val="008D63CB"/>
    <w:rsid w:val="008D67AF"/>
    <w:rsid w:val="008D7340"/>
    <w:rsid w:val="008D7BC0"/>
    <w:rsid w:val="008E5F87"/>
    <w:rsid w:val="008E7656"/>
    <w:rsid w:val="008E777A"/>
    <w:rsid w:val="008F4796"/>
    <w:rsid w:val="008F5E48"/>
    <w:rsid w:val="00901D5D"/>
    <w:rsid w:val="00902358"/>
    <w:rsid w:val="00903D39"/>
    <w:rsid w:val="009057C5"/>
    <w:rsid w:val="00905834"/>
    <w:rsid w:val="00905B45"/>
    <w:rsid w:val="0090754E"/>
    <w:rsid w:val="00913B24"/>
    <w:rsid w:val="00915251"/>
    <w:rsid w:val="009163C0"/>
    <w:rsid w:val="009175C2"/>
    <w:rsid w:val="00921CF1"/>
    <w:rsid w:val="00924CB3"/>
    <w:rsid w:val="0092544D"/>
    <w:rsid w:val="00925F7D"/>
    <w:rsid w:val="00931A39"/>
    <w:rsid w:val="0093254F"/>
    <w:rsid w:val="00933393"/>
    <w:rsid w:val="00933B86"/>
    <w:rsid w:val="00936D81"/>
    <w:rsid w:val="00940128"/>
    <w:rsid w:val="00942FB8"/>
    <w:rsid w:val="00944105"/>
    <w:rsid w:val="00944A84"/>
    <w:rsid w:val="009527FF"/>
    <w:rsid w:val="009547D1"/>
    <w:rsid w:val="009633E0"/>
    <w:rsid w:val="00965B7A"/>
    <w:rsid w:val="00965F78"/>
    <w:rsid w:val="00967123"/>
    <w:rsid w:val="00967AD9"/>
    <w:rsid w:val="00972120"/>
    <w:rsid w:val="00972EBA"/>
    <w:rsid w:val="00974ACB"/>
    <w:rsid w:val="00976EEA"/>
    <w:rsid w:val="009778B4"/>
    <w:rsid w:val="00980499"/>
    <w:rsid w:val="009863DF"/>
    <w:rsid w:val="00991E0E"/>
    <w:rsid w:val="009959BC"/>
    <w:rsid w:val="009A306C"/>
    <w:rsid w:val="009A351B"/>
    <w:rsid w:val="009A454E"/>
    <w:rsid w:val="009A7B8B"/>
    <w:rsid w:val="009B2D9D"/>
    <w:rsid w:val="009B3F96"/>
    <w:rsid w:val="009B5337"/>
    <w:rsid w:val="009C0868"/>
    <w:rsid w:val="009C1F30"/>
    <w:rsid w:val="009C3C81"/>
    <w:rsid w:val="009D0715"/>
    <w:rsid w:val="009D29D5"/>
    <w:rsid w:val="009D2DBA"/>
    <w:rsid w:val="009D62BE"/>
    <w:rsid w:val="009E4826"/>
    <w:rsid w:val="009E664B"/>
    <w:rsid w:val="009F18FC"/>
    <w:rsid w:val="009F21D0"/>
    <w:rsid w:val="009F252D"/>
    <w:rsid w:val="009F5FB8"/>
    <w:rsid w:val="009F6743"/>
    <w:rsid w:val="00A00F8D"/>
    <w:rsid w:val="00A03D1A"/>
    <w:rsid w:val="00A050D1"/>
    <w:rsid w:val="00A06101"/>
    <w:rsid w:val="00A14AD6"/>
    <w:rsid w:val="00A16BD5"/>
    <w:rsid w:val="00A1711B"/>
    <w:rsid w:val="00A21AB0"/>
    <w:rsid w:val="00A2544A"/>
    <w:rsid w:val="00A27EFC"/>
    <w:rsid w:val="00A31DB8"/>
    <w:rsid w:val="00A345DF"/>
    <w:rsid w:val="00A36FE0"/>
    <w:rsid w:val="00A40E17"/>
    <w:rsid w:val="00A46F54"/>
    <w:rsid w:val="00A5417C"/>
    <w:rsid w:val="00A562F7"/>
    <w:rsid w:val="00A5700C"/>
    <w:rsid w:val="00A57063"/>
    <w:rsid w:val="00A624FA"/>
    <w:rsid w:val="00A65AE5"/>
    <w:rsid w:val="00A70A5F"/>
    <w:rsid w:val="00A70D67"/>
    <w:rsid w:val="00A807B6"/>
    <w:rsid w:val="00A81731"/>
    <w:rsid w:val="00A82F57"/>
    <w:rsid w:val="00A85950"/>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29B"/>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0643A"/>
    <w:rsid w:val="00B117C4"/>
    <w:rsid w:val="00B143FE"/>
    <w:rsid w:val="00B14642"/>
    <w:rsid w:val="00B17605"/>
    <w:rsid w:val="00B20920"/>
    <w:rsid w:val="00B25F7B"/>
    <w:rsid w:val="00B2717C"/>
    <w:rsid w:val="00B27FCB"/>
    <w:rsid w:val="00B33267"/>
    <w:rsid w:val="00B332C3"/>
    <w:rsid w:val="00B34292"/>
    <w:rsid w:val="00B34A9F"/>
    <w:rsid w:val="00B34C62"/>
    <w:rsid w:val="00B35EAA"/>
    <w:rsid w:val="00B361C2"/>
    <w:rsid w:val="00B37658"/>
    <w:rsid w:val="00B432AF"/>
    <w:rsid w:val="00B45242"/>
    <w:rsid w:val="00B51E2C"/>
    <w:rsid w:val="00B52C33"/>
    <w:rsid w:val="00B57C05"/>
    <w:rsid w:val="00B60D1B"/>
    <w:rsid w:val="00B61893"/>
    <w:rsid w:val="00B639BB"/>
    <w:rsid w:val="00B63B39"/>
    <w:rsid w:val="00B67227"/>
    <w:rsid w:val="00B67ADF"/>
    <w:rsid w:val="00B74416"/>
    <w:rsid w:val="00B74EEC"/>
    <w:rsid w:val="00B75B52"/>
    <w:rsid w:val="00B75BE3"/>
    <w:rsid w:val="00B76AC4"/>
    <w:rsid w:val="00B779F2"/>
    <w:rsid w:val="00B77DFE"/>
    <w:rsid w:val="00B827AD"/>
    <w:rsid w:val="00B844A6"/>
    <w:rsid w:val="00B85361"/>
    <w:rsid w:val="00B90801"/>
    <w:rsid w:val="00B95A5D"/>
    <w:rsid w:val="00B965A1"/>
    <w:rsid w:val="00B966C9"/>
    <w:rsid w:val="00BA105F"/>
    <w:rsid w:val="00BA38A7"/>
    <w:rsid w:val="00BA49C1"/>
    <w:rsid w:val="00BA5587"/>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BF74B0"/>
    <w:rsid w:val="00C07DFD"/>
    <w:rsid w:val="00C10168"/>
    <w:rsid w:val="00C155DA"/>
    <w:rsid w:val="00C15C40"/>
    <w:rsid w:val="00C22B04"/>
    <w:rsid w:val="00C26C3B"/>
    <w:rsid w:val="00C30243"/>
    <w:rsid w:val="00C34054"/>
    <w:rsid w:val="00C41149"/>
    <w:rsid w:val="00C4131C"/>
    <w:rsid w:val="00C416F6"/>
    <w:rsid w:val="00C41892"/>
    <w:rsid w:val="00C4390B"/>
    <w:rsid w:val="00C4707B"/>
    <w:rsid w:val="00C51005"/>
    <w:rsid w:val="00C54CD4"/>
    <w:rsid w:val="00C5652E"/>
    <w:rsid w:val="00C62ACC"/>
    <w:rsid w:val="00C663E3"/>
    <w:rsid w:val="00C700E8"/>
    <w:rsid w:val="00C705CE"/>
    <w:rsid w:val="00C710E3"/>
    <w:rsid w:val="00C85B1A"/>
    <w:rsid w:val="00C877B9"/>
    <w:rsid w:val="00C915A2"/>
    <w:rsid w:val="00C956CF"/>
    <w:rsid w:val="00C963C9"/>
    <w:rsid w:val="00CA2C80"/>
    <w:rsid w:val="00CA59A1"/>
    <w:rsid w:val="00CB1E91"/>
    <w:rsid w:val="00CB6D98"/>
    <w:rsid w:val="00CB725A"/>
    <w:rsid w:val="00CC49F4"/>
    <w:rsid w:val="00CD2BC2"/>
    <w:rsid w:val="00CD5D15"/>
    <w:rsid w:val="00CD6F05"/>
    <w:rsid w:val="00CE04CF"/>
    <w:rsid w:val="00CE68CF"/>
    <w:rsid w:val="00CE71C0"/>
    <w:rsid w:val="00CF228C"/>
    <w:rsid w:val="00CF2305"/>
    <w:rsid w:val="00CF25A9"/>
    <w:rsid w:val="00CF34DB"/>
    <w:rsid w:val="00CF5472"/>
    <w:rsid w:val="00CF6A0C"/>
    <w:rsid w:val="00D00FC4"/>
    <w:rsid w:val="00D04131"/>
    <w:rsid w:val="00D04A4C"/>
    <w:rsid w:val="00D0567D"/>
    <w:rsid w:val="00D06D68"/>
    <w:rsid w:val="00D1136F"/>
    <w:rsid w:val="00D16D90"/>
    <w:rsid w:val="00D24C4F"/>
    <w:rsid w:val="00D26132"/>
    <w:rsid w:val="00D2759C"/>
    <w:rsid w:val="00D34986"/>
    <w:rsid w:val="00D36FC5"/>
    <w:rsid w:val="00D37C95"/>
    <w:rsid w:val="00D4098D"/>
    <w:rsid w:val="00D44B55"/>
    <w:rsid w:val="00D44C6F"/>
    <w:rsid w:val="00D4535E"/>
    <w:rsid w:val="00D45CE9"/>
    <w:rsid w:val="00D51AA6"/>
    <w:rsid w:val="00D51B9A"/>
    <w:rsid w:val="00D65157"/>
    <w:rsid w:val="00D6698C"/>
    <w:rsid w:val="00D70A38"/>
    <w:rsid w:val="00D7185B"/>
    <w:rsid w:val="00D854A6"/>
    <w:rsid w:val="00D85B9B"/>
    <w:rsid w:val="00D861BB"/>
    <w:rsid w:val="00D86880"/>
    <w:rsid w:val="00D86DD5"/>
    <w:rsid w:val="00D87E57"/>
    <w:rsid w:val="00D9165E"/>
    <w:rsid w:val="00D92525"/>
    <w:rsid w:val="00DB1452"/>
    <w:rsid w:val="00DB3DBC"/>
    <w:rsid w:val="00DB74F9"/>
    <w:rsid w:val="00DC2C62"/>
    <w:rsid w:val="00DC443F"/>
    <w:rsid w:val="00DC7857"/>
    <w:rsid w:val="00DD0BF1"/>
    <w:rsid w:val="00DD1673"/>
    <w:rsid w:val="00DD30AE"/>
    <w:rsid w:val="00DD5EA5"/>
    <w:rsid w:val="00DD64E3"/>
    <w:rsid w:val="00DD6B3F"/>
    <w:rsid w:val="00DD7101"/>
    <w:rsid w:val="00DD7F31"/>
    <w:rsid w:val="00DE0E6D"/>
    <w:rsid w:val="00DE446F"/>
    <w:rsid w:val="00DE5FF1"/>
    <w:rsid w:val="00DE6965"/>
    <w:rsid w:val="00DE6E13"/>
    <w:rsid w:val="00DF17A5"/>
    <w:rsid w:val="00DF1A6E"/>
    <w:rsid w:val="00DF5A64"/>
    <w:rsid w:val="00DF6C27"/>
    <w:rsid w:val="00E0085E"/>
    <w:rsid w:val="00E00C76"/>
    <w:rsid w:val="00E0385F"/>
    <w:rsid w:val="00E06223"/>
    <w:rsid w:val="00E10E38"/>
    <w:rsid w:val="00E10ECE"/>
    <w:rsid w:val="00E11790"/>
    <w:rsid w:val="00E15015"/>
    <w:rsid w:val="00E153AC"/>
    <w:rsid w:val="00E1737D"/>
    <w:rsid w:val="00E17750"/>
    <w:rsid w:val="00E221F5"/>
    <w:rsid w:val="00E22A7A"/>
    <w:rsid w:val="00E23A3C"/>
    <w:rsid w:val="00E24CD8"/>
    <w:rsid w:val="00E27430"/>
    <w:rsid w:val="00E351D4"/>
    <w:rsid w:val="00E40F9E"/>
    <w:rsid w:val="00E4280B"/>
    <w:rsid w:val="00E42C3C"/>
    <w:rsid w:val="00E43141"/>
    <w:rsid w:val="00E43913"/>
    <w:rsid w:val="00E45906"/>
    <w:rsid w:val="00E465E8"/>
    <w:rsid w:val="00E5055C"/>
    <w:rsid w:val="00E50F0C"/>
    <w:rsid w:val="00E5583D"/>
    <w:rsid w:val="00E55F88"/>
    <w:rsid w:val="00E56B97"/>
    <w:rsid w:val="00E6101F"/>
    <w:rsid w:val="00E61CEB"/>
    <w:rsid w:val="00E66C98"/>
    <w:rsid w:val="00E710F1"/>
    <w:rsid w:val="00E72AB0"/>
    <w:rsid w:val="00E746F0"/>
    <w:rsid w:val="00E74FCE"/>
    <w:rsid w:val="00E756EB"/>
    <w:rsid w:val="00E80572"/>
    <w:rsid w:val="00E8196D"/>
    <w:rsid w:val="00E84AA4"/>
    <w:rsid w:val="00E8737B"/>
    <w:rsid w:val="00E90C2A"/>
    <w:rsid w:val="00E90FEA"/>
    <w:rsid w:val="00E91128"/>
    <w:rsid w:val="00E95F59"/>
    <w:rsid w:val="00E96E6B"/>
    <w:rsid w:val="00E96EF2"/>
    <w:rsid w:val="00EA3FC9"/>
    <w:rsid w:val="00EA448D"/>
    <w:rsid w:val="00EA5AFA"/>
    <w:rsid w:val="00EA7A96"/>
    <w:rsid w:val="00EB01DE"/>
    <w:rsid w:val="00EB19AD"/>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C49"/>
    <w:rsid w:val="00EF2F57"/>
    <w:rsid w:val="00F0306A"/>
    <w:rsid w:val="00F03AFA"/>
    <w:rsid w:val="00F067DA"/>
    <w:rsid w:val="00F126BE"/>
    <w:rsid w:val="00F14B40"/>
    <w:rsid w:val="00F175B5"/>
    <w:rsid w:val="00F2168F"/>
    <w:rsid w:val="00F22E61"/>
    <w:rsid w:val="00F25D0C"/>
    <w:rsid w:val="00F26205"/>
    <w:rsid w:val="00F26D41"/>
    <w:rsid w:val="00F35618"/>
    <w:rsid w:val="00F359EA"/>
    <w:rsid w:val="00F35DBA"/>
    <w:rsid w:val="00F36A61"/>
    <w:rsid w:val="00F42E35"/>
    <w:rsid w:val="00F43A83"/>
    <w:rsid w:val="00F43D07"/>
    <w:rsid w:val="00F44AB9"/>
    <w:rsid w:val="00F50768"/>
    <w:rsid w:val="00F51AD6"/>
    <w:rsid w:val="00F51F2A"/>
    <w:rsid w:val="00F5300C"/>
    <w:rsid w:val="00F539D9"/>
    <w:rsid w:val="00F56988"/>
    <w:rsid w:val="00F56BB9"/>
    <w:rsid w:val="00F6135B"/>
    <w:rsid w:val="00F63B99"/>
    <w:rsid w:val="00F6489E"/>
    <w:rsid w:val="00F7077A"/>
    <w:rsid w:val="00F73F1D"/>
    <w:rsid w:val="00F75F72"/>
    <w:rsid w:val="00F8163B"/>
    <w:rsid w:val="00F830E4"/>
    <w:rsid w:val="00F90178"/>
    <w:rsid w:val="00F91A06"/>
    <w:rsid w:val="00FA026B"/>
    <w:rsid w:val="00FA123A"/>
    <w:rsid w:val="00FA2184"/>
    <w:rsid w:val="00FA4E42"/>
    <w:rsid w:val="00FA5FBE"/>
    <w:rsid w:val="00FA7889"/>
    <w:rsid w:val="00FB0AD4"/>
    <w:rsid w:val="00FB0B93"/>
    <w:rsid w:val="00FB3D58"/>
    <w:rsid w:val="00FB61FB"/>
    <w:rsid w:val="00FC0C08"/>
    <w:rsid w:val="00FC10E5"/>
    <w:rsid w:val="00FC1B67"/>
    <w:rsid w:val="00FC272A"/>
    <w:rsid w:val="00FC78B8"/>
    <w:rsid w:val="00FD012F"/>
    <w:rsid w:val="00FD3226"/>
    <w:rsid w:val="00FD3F17"/>
    <w:rsid w:val="00FD3FEF"/>
    <w:rsid w:val="00FD7285"/>
    <w:rsid w:val="00FE1B1F"/>
    <w:rsid w:val="00FE2F7C"/>
    <w:rsid w:val="00FF4B64"/>
    <w:rsid w:val="00FF7E55"/>
    <w:rsid w:val="010945F8"/>
    <w:rsid w:val="010D65C7"/>
    <w:rsid w:val="01B83970"/>
    <w:rsid w:val="02983146"/>
    <w:rsid w:val="069817F5"/>
    <w:rsid w:val="07B91A4E"/>
    <w:rsid w:val="09145D0E"/>
    <w:rsid w:val="0A7A0D24"/>
    <w:rsid w:val="0AEA34DF"/>
    <w:rsid w:val="0C1543F2"/>
    <w:rsid w:val="0FB57F47"/>
    <w:rsid w:val="12DD119B"/>
    <w:rsid w:val="15224EDF"/>
    <w:rsid w:val="16107ED6"/>
    <w:rsid w:val="16573266"/>
    <w:rsid w:val="17CC5F20"/>
    <w:rsid w:val="17D3499E"/>
    <w:rsid w:val="17FD2E3C"/>
    <w:rsid w:val="1A6C0E49"/>
    <w:rsid w:val="1A904ACC"/>
    <w:rsid w:val="1A96219C"/>
    <w:rsid w:val="1D0B4BD7"/>
    <w:rsid w:val="1D3C35EC"/>
    <w:rsid w:val="1D7C2EF5"/>
    <w:rsid w:val="1DFA7A06"/>
    <w:rsid w:val="1E6050D9"/>
    <w:rsid w:val="1EF33769"/>
    <w:rsid w:val="20075536"/>
    <w:rsid w:val="20552717"/>
    <w:rsid w:val="20C134BA"/>
    <w:rsid w:val="24397359"/>
    <w:rsid w:val="249A16CE"/>
    <w:rsid w:val="26002DB1"/>
    <w:rsid w:val="26AE07D6"/>
    <w:rsid w:val="27445739"/>
    <w:rsid w:val="29317072"/>
    <w:rsid w:val="2AE24AD7"/>
    <w:rsid w:val="2B0B5FF9"/>
    <w:rsid w:val="2BA85709"/>
    <w:rsid w:val="2CD34A5C"/>
    <w:rsid w:val="2D3335A1"/>
    <w:rsid w:val="2F195569"/>
    <w:rsid w:val="2FCF5B79"/>
    <w:rsid w:val="30CB6926"/>
    <w:rsid w:val="312A537B"/>
    <w:rsid w:val="315F2240"/>
    <w:rsid w:val="33186F42"/>
    <w:rsid w:val="347B228B"/>
    <w:rsid w:val="34D7659F"/>
    <w:rsid w:val="36F21831"/>
    <w:rsid w:val="3980696F"/>
    <w:rsid w:val="3B9A59FD"/>
    <w:rsid w:val="3C7A3356"/>
    <w:rsid w:val="3D93569B"/>
    <w:rsid w:val="3E8E48E5"/>
    <w:rsid w:val="3E951CDB"/>
    <w:rsid w:val="3E9A0DCF"/>
    <w:rsid w:val="3F9327B4"/>
    <w:rsid w:val="3FEB02E8"/>
    <w:rsid w:val="40064895"/>
    <w:rsid w:val="418515A8"/>
    <w:rsid w:val="44BF37B0"/>
    <w:rsid w:val="45D55898"/>
    <w:rsid w:val="476228E2"/>
    <w:rsid w:val="47D7366B"/>
    <w:rsid w:val="48523A18"/>
    <w:rsid w:val="49FA5E58"/>
    <w:rsid w:val="4A2D3B44"/>
    <w:rsid w:val="4B4B1A00"/>
    <w:rsid w:val="4C4A25B8"/>
    <w:rsid w:val="4E271445"/>
    <w:rsid w:val="4E3C10EB"/>
    <w:rsid w:val="4E7B0628"/>
    <w:rsid w:val="4E91251A"/>
    <w:rsid w:val="51EE6A04"/>
    <w:rsid w:val="55E83332"/>
    <w:rsid w:val="5626008D"/>
    <w:rsid w:val="563C5233"/>
    <w:rsid w:val="56F756A5"/>
    <w:rsid w:val="5912608C"/>
    <w:rsid w:val="593A432E"/>
    <w:rsid w:val="5A6670CD"/>
    <w:rsid w:val="5B16053A"/>
    <w:rsid w:val="5B6D21C3"/>
    <w:rsid w:val="5D0157EE"/>
    <w:rsid w:val="5E2D7D7F"/>
    <w:rsid w:val="5F5852A8"/>
    <w:rsid w:val="62DA4542"/>
    <w:rsid w:val="636F07D3"/>
    <w:rsid w:val="65322478"/>
    <w:rsid w:val="65463C4C"/>
    <w:rsid w:val="65A52D5C"/>
    <w:rsid w:val="65E27A89"/>
    <w:rsid w:val="6658406F"/>
    <w:rsid w:val="669E160B"/>
    <w:rsid w:val="671B3FE6"/>
    <w:rsid w:val="69A57FB9"/>
    <w:rsid w:val="69BB3EE6"/>
    <w:rsid w:val="6A773144"/>
    <w:rsid w:val="6C7A36D8"/>
    <w:rsid w:val="721A69DD"/>
    <w:rsid w:val="722952A2"/>
    <w:rsid w:val="7414527B"/>
    <w:rsid w:val="76307558"/>
    <w:rsid w:val="77B942D4"/>
    <w:rsid w:val="783C7E07"/>
    <w:rsid w:val="78FA57B4"/>
    <w:rsid w:val="79BD039A"/>
    <w:rsid w:val="79C175B7"/>
    <w:rsid w:val="7AAC543A"/>
    <w:rsid w:val="7B740F24"/>
    <w:rsid w:val="7D0C5EDE"/>
    <w:rsid w:val="7DC61BAC"/>
    <w:rsid w:val="7F47555E"/>
  </w:rsids>
  <m:mathPr>
    <m:mathFont m:val="Cambria Math"/>
    <m:brkBin m:val="before"/>
    <m:brkBinSub m:val="--"/>
    <m:smallFrac m:val="0"/>
    <m:dispDef/>
    <m:lMargin m:val="0"/>
    <m:rMargin m:val="0"/>
    <m:defJc m:val="centerGroup"/>
    <m:wrapIndent m:val="1440"/>
    <m:intLim m:val="subSup"/>
    <m:naryLim m:val="undOvr"/>
  </m:mathPr>
  <w:doNotAutoCompressPictures/>
  <w:themeFontLang w:val="de-DE" w:eastAsia="ja-JP"/>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14:defaultImageDpi w14:val="32767"/>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宋体"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uiPriority="9" w:semiHidden="0" w:name="heading 2"/>
    <w:lsdException w:uiPriority="9" w:semiHidden="0" w:name="heading 3"/>
    <w:lsdException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name="toc 5"/>
    <w:lsdException w:qFormat="1" w:uiPriority="39" w:name="toc 6"/>
    <w:lsdException w:qFormat="1" w:uiPriority="39" w:name="toc 7"/>
    <w:lsdException w:qFormat="1" w:uiPriority="39" w:name="toc 8"/>
    <w:lsdException w:qFormat="1" w:uiPriority="39" w:name="toc 9"/>
    <w:lsdException w:uiPriority="99" w:name="Normal Indent"/>
    <w:lsdException w:uiPriority="99" w:name="footnote text"/>
    <w:lsdException w:qFormat="1" w:uiPriority="99" w:semiHidden="0"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unhideWhenUsed="0" w:uiPriority="22" w:semiHidden="0" w:name="Strong"/>
    <w:lsdException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tabs>
        <w:tab w:val="left" w:pos="3572"/>
      </w:tabs>
      <w:spacing w:line="330" w:lineRule="atLeast"/>
    </w:pPr>
    <w:rPr>
      <w:rFonts w:eastAsia="宋体" w:cs="Times New Roman (Textkörper CS)" w:asciiTheme="minorHAnsi" w:hAnsiTheme="minorHAnsi"/>
      <w:color w:val="000000"/>
      <w:sz w:val="22"/>
      <w:szCs w:val="24"/>
      <w:lang w:val="de-DE" w:eastAsia="en-US" w:bidi="ar-SA"/>
    </w:rPr>
  </w:style>
  <w:style w:type="paragraph" w:styleId="2">
    <w:name w:val="heading 1"/>
    <w:basedOn w:val="1"/>
    <w:next w:val="1"/>
    <w:link w:val="46"/>
    <w:qFormat/>
    <w:uiPriority w:val="9"/>
    <w:pPr>
      <w:keepNext/>
      <w:keepLines/>
      <w:numPr>
        <w:ilvl w:val="0"/>
        <w:numId w:val="1"/>
      </w:numPr>
      <w:tabs>
        <w:tab w:val="clear" w:pos="3572"/>
      </w:tabs>
      <w:spacing w:after="260" w:line="340" w:lineRule="atLeast"/>
      <w:outlineLvl w:val="0"/>
    </w:pPr>
    <w:rPr>
      <w:rFonts w:asciiTheme="majorHAnsi" w:hAnsiTheme="majorHAnsi" w:eastAsiaTheme="majorEastAsia" w:cstheme="majorBidi"/>
      <w:b/>
      <w:color w:val="00468E" w:themeColor="accent1"/>
      <w:sz w:val="24"/>
      <w:szCs w:val="32"/>
      <w14:textFill>
        <w14:solidFill>
          <w14:schemeClr w14:val="accent1"/>
        </w14:solidFill>
      </w14:textFill>
    </w:rPr>
  </w:style>
  <w:style w:type="paragraph" w:styleId="3">
    <w:name w:val="heading 2"/>
    <w:basedOn w:val="2"/>
    <w:next w:val="4"/>
    <w:link w:val="47"/>
    <w:unhideWhenUsed/>
    <w:uiPriority w:val="9"/>
    <w:pPr>
      <w:numPr>
        <w:ilvl w:val="1"/>
      </w:numPr>
      <w:spacing w:line="260" w:lineRule="atLeast"/>
      <w:ind w:left="1021" w:hanging="1021"/>
      <w:outlineLvl w:val="1"/>
    </w:pPr>
    <w:rPr>
      <w:sz w:val="20"/>
      <w:szCs w:val="26"/>
    </w:rPr>
  </w:style>
  <w:style w:type="paragraph" w:styleId="5">
    <w:name w:val="heading 3"/>
    <w:basedOn w:val="1"/>
    <w:next w:val="1"/>
    <w:link w:val="50"/>
    <w:unhideWhenUsed/>
    <w:uiPriority w:val="9"/>
    <w:pPr>
      <w:keepNext/>
      <w:keepLines/>
      <w:numPr>
        <w:ilvl w:val="2"/>
        <w:numId w:val="1"/>
      </w:numPr>
      <w:spacing w:after="260"/>
      <w:ind w:left="1021" w:hanging="1021"/>
      <w:outlineLvl w:val="2"/>
    </w:pPr>
    <w:rPr>
      <w:rFonts w:asciiTheme="majorHAnsi" w:hAnsiTheme="majorHAnsi" w:eastAsiaTheme="majorEastAsia" w:cstheme="majorBidi"/>
      <w:b/>
      <w:color w:val="00468E" w:themeColor="accent1"/>
      <w14:textFill>
        <w14:solidFill>
          <w14:schemeClr w14:val="accent1"/>
        </w14:solidFill>
      </w14:textFill>
    </w:rPr>
  </w:style>
  <w:style w:type="paragraph" w:styleId="6">
    <w:name w:val="heading 4"/>
    <w:basedOn w:val="1"/>
    <w:next w:val="1"/>
    <w:link w:val="51"/>
    <w:unhideWhenUsed/>
    <w:uiPriority w:val="9"/>
    <w:pPr>
      <w:keepNext/>
      <w:keepLines/>
      <w:numPr>
        <w:ilvl w:val="3"/>
        <w:numId w:val="1"/>
      </w:numPr>
      <w:spacing w:after="260"/>
      <w:ind w:left="1021" w:hanging="1021"/>
      <w:outlineLvl w:val="3"/>
    </w:pPr>
    <w:rPr>
      <w:rFonts w:asciiTheme="majorHAnsi" w:hAnsiTheme="majorHAnsi" w:eastAsiaTheme="majorEastAsia" w:cstheme="majorBidi"/>
      <w:b/>
      <w:iCs/>
      <w:color w:val="00468E" w:themeColor="accent1"/>
      <w14:textFill>
        <w14:solidFill>
          <w14:schemeClr w14:val="accent1"/>
        </w14:solidFill>
      </w14:textFill>
    </w:rPr>
  </w:style>
  <w:style w:type="paragraph" w:styleId="7">
    <w:name w:val="heading 5"/>
    <w:basedOn w:val="1"/>
    <w:next w:val="1"/>
    <w:link w:val="52"/>
    <w:semiHidden/>
    <w:unhideWhenUsed/>
    <w:qFormat/>
    <w:uiPriority w:val="9"/>
    <w:pPr>
      <w:keepNext/>
      <w:keepLines/>
      <w:numPr>
        <w:ilvl w:val="4"/>
        <w:numId w:val="1"/>
      </w:numPr>
      <w:spacing w:before="40"/>
      <w:outlineLvl w:val="4"/>
    </w:pPr>
    <w:rPr>
      <w:rFonts w:asciiTheme="majorHAnsi" w:hAnsiTheme="majorHAnsi" w:eastAsiaTheme="majorEastAsia" w:cstheme="majorBidi"/>
      <w:color w:val="00346B" w:themeColor="accent1" w:themeShade="BF"/>
    </w:rPr>
  </w:style>
  <w:style w:type="paragraph" w:styleId="8">
    <w:name w:val="heading 6"/>
    <w:basedOn w:val="1"/>
    <w:next w:val="1"/>
    <w:link w:val="53"/>
    <w:semiHidden/>
    <w:unhideWhenUsed/>
    <w:qFormat/>
    <w:uiPriority w:val="9"/>
    <w:pPr>
      <w:keepNext/>
      <w:keepLines/>
      <w:numPr>
        <w:ilvl w:val="5"/>
        <w:numId w:val="1"/>
      </w:numPr>
      <w:spacing w:before="40"/>
      <w:outlineLvl w:val="5"/>
    </w:pPr>
    <w:rPr>
      <w:rFonts w:asciiTheme="majorHAnsi" w:hAnsiTheme="majorHAnsi" w:eastAsiaTheme="majorEastAsia" w:cstheme="majorBidi"/>
      <w:color w:val="002347" w:themeColor="accent1" w:themeShade="80"/>
    </w:rPr>
  </w:style>
  <w:style w:type="paragraph" w:styleId="9">
    <w:name w:val="heading 7"/>
    <w:basedOn w:val="1"/>
    <w:next w:val="1"/>
    <w:link w:val="54"/>
    <w:semiHidden/>
    <w:unhideWhenUsed/>
    <w:qFormat/>
    <w:uiPriority w:val="9"/>
    <w:pPr>
      <w:keepNext/>
      <w:keepLines/>
      <w:numPr>
        <w:ilvl w:val="6"/>
        <w:numId w:val="1"/>
      </w:numPr>
      <w:spacing w:before="40"/>
      <w:outlineLvl w:val="6"/>
    </w:pPr>
    <w:rPr>
      <w:rFonts w:asciiTheme="majorHAnsi" w:hAnsiTheme="majorHAnsi" w:eastAsiaTheme="majorEastAsia" w:cstheme="majorBidi"/>
      <w:i/>
      <w:iCs/>
      <w:color w:val="002347" w:themeColor="accent1" w:themeShade="80"/>
    </w:rPr>
  </w:style>
  <w:style w:type="paragraph" w:styleId="10">
    <w:name w:val="heading 8"/>
    <w:basedOn w:val="1"/>
    <w:next w:val="1"/>
    <w:link w:val="55"/>
    <w:semiHidden/>
    <w:unhideWhenUsed/>
    <w:qFormat/>
    <w:uiPriority w:val="9"/>
    <w:pPr>
      <w:keepNext/>
      <w:keepLines/>
      <w:numPr>
        <w:ilvl w:val="7"/>
        <w:numId w:val="1"/>
      </w:numPr>
      <w:spacing w:before="40"/>
      <w:outlineLvl w:val="7"/>
    </w:pPr>
    <w:rPr>
      <w:rFonts w:asciiTheme="majorHAnsi" w:hAnsiTheme="majorHAnsi" w:eastAsiaTheme="majorEastAsia" w:cstheme="majorBidi"/>
      <w:color w:val="677786" w:themeColor="text1" w:themeTint="D9"/>
      <w:sz w:val="21"/>
      <w:szCs w:val="21"/>
      <w14:textFill>
        <w14:solidFill>
          <w14:schemeClr w14:val="tx1">
            <w14:lumMod w14:val="85000"/>
            <w14:lumOff w14:val="15000"/>
          </w14:schemeClr>
        </w14:solidFill>
      </w14:textFill>
    </w:rPr>
  </w:style>
  <w:style w:type="paragraph" w:styleId="11">
    <w:name w:val="heading 9"/>
    <w:basedOn w:val="1"/>
    <w:next w:val="1"/>
    <w:link w:val="56"/>
    <w:semiHidden/>
    <w:unhideWhenUsed/>
    <w:qFormat/>
    <w:uiPriority w:val="9"/>
    <w:pPr>
      <w:keepNext/>
      <w:keepLines/>
      <w:numPr>
        <w:ilvl w:val="8"/>
        <w:numId w:val="1"/>
      </w:numPr>
      <w:spacing w:before="40"/>
      <w:outlineLvl w:val="8"/>
    </w:pPr>
    <w:rPr>
      <w:rFonts w:asciiTheme="majorHAnsi" w:hAnsiTheme="majorHAnsi" w:eastAsiaTheme="majorEastAsia" w:cstheme="majorBidi"/>
      <w:i/>
      <w:iCs/>
      <w:color w:val="677786" w:themeColor="text1" w:themeTint="D9"/>
      <w:sz w:val="21"/>
      <w:szCs w:val="21"/>
      <w14:textFill>
        <w14:solidFill>
          <w14:schemeClr w14:val="tx1">
            <w14:lumMod w14:val="85000"/>
            <w14:lumOff w14:val="15000"/>
          </w14:schemeClr>
        </w14:solidFill>
      </w14:textFill>
    </w:rPr>
  </w:style>
  <w:style w:type="character" w:default="1" w:styleId="28">
    <w:name w:val="Default Paragraph Font"/>
    <w:semiHidden/>
    <w:unhideWhenUsed/>
    <w:uiPriority w:val="1"/>
  </w:style>
  <w:style w:type="table" w:default="1" w:styleId="26">
    <w:name w:val="Normal Table"/>
    <w:semiHidden/>
    <w:unhideWhenUsed/>
    <w:qFormat/>
    <w:uiPriority w:val="99"/>
    <w:tblPr>
      <w:tblCellMar>
        <w:top w:w="0" w:type="dxa"/>
        <w:left w:w="108" w:type="dxa"/>
        <w:bottom w:w="0" w:type="dxa"/>
        <w:right w:w="108" w:type="dxa"/>
      </w:tblCellMar>
    </w:tblPr>
  </w:style>
  <w:style w:type="paragraph" w:customStyle="1" w:styleId="4">
    <w:name w:val="Fließtext"/>
    <w:basedOn w:val="1"/>
    <w:qFormat/>
    <w:uiPriority w:val="0"/>
  </w:style>
  <w:style w:type="paragraph" w:styleId="12">
    <w:name w:val="toc 7"/>
    <w:basedOn w:val="1"/>
    <w:next w:val="1"/>
    <w:semiHidden/>
    <w:unhideWhenUsed/>
    <w:qFormat/>
    <w:uiPriority w:val="39"/>
    <w:pPr>
      <w:tabs>
        <w:tab w:val="clear" w:pos="3572"/>
      </w:tabs>
    </w:pPr>
    <w:rPr>
      <w:rFonts w:cstheme="minorHAnsi"/>
      <w:szCs w:val="22"/>
    </w:rPr>
  </w:style>
  <w:style w:type="paragraph" w:styleId="13">
    <w:name w:val="annotation text"/>
    <w:basedOn w:val="1"/>
    <w:link w:val="68"/>
    <w:unhideWhenUsed/>
    <w:qFormat/>
    <w:uiPriority w:val="99"/>
    <w:pPr>
      <w:spacing w:line="240" w:lineRule="auto"/>
    </w:pPr>
    <w:rPr>
      <w:sz w:val="20"/>
      <w:szCs w:val="20"/>
    </w:rPr>
  </w:style>
  <w:style w:type="paragraph" w:styleId="14">
    <w:name w:val="toc 5"/>
    <w:basedOn w:val="1"/>
    <w:next w:val="1"/>
    <w:semiHidden/>
    <w:unhideWhenUsed/>
    <w:qFormat/>
    <w:uiPriority w:val="39"/>
    <w:pPr>
      <w:tabs>
        <w:tab w:val="clear" w:pos="3572"/>
      </w:tabs>
    </w:pPr>
    <w:rPr>
      <w:rFonts w:cstheme="minorHAnsi"/>
      <w:szCs w:val="22"/>
    </w:rPr>
  </w:style>
  <w:style w:type="paragraph" w:styleId="15">
    <w:name w:val="toc 3"/>
    <w:basedOn w:val="1"/>
    <w:next w:val="1"/>
    <w:unhideWhenUsed/>
    <w:qFormat/>
    <w:uiPriority w:val="39"/>
    <w:pPr>
      <w:tabs>
        <w:tab w:val="right" w:leader="underscore" w:pos="9185"/>
        <w:tab w:val="clear" w:pos="3572"/>
      </w:tabs>
      <w:ind w:left="1021" w:hanging="1021"/>
    </w:pPr>
    <w:rPr>
      <w:rFonts w:cs="Arial (Textkörper)"/>
      <w:b/>
      <w:color w:val="00468E" w:themeColor="accent1"/>
      <w:szCs w:val="22"/>
      <w14:textFill>
        <w14:solidFill>
          <w14:schemeClr w14:val="accent1"/>
        </w14:solidFill>
      </w14:textFill>
    </w:rPr>
  </w:style>
  <w:style w:type="paragraph" w:styleId="16">
    <w:name w:val="toc 8"/>
    <w:basedOn w:val="1"/>
    <w:next w:val="1"/>
    <w:semiHidden/>
    <w:unhideWhenUsed/>
    <w:qFormat/>
    <w:uiPriority w:val="39"/>
    <w:pPr>
      <w:tabs>
        <w:tab w:val="clear" w:pos="3572"/>
      </w:tabs>
    </w:pPr>
    <w:rPr>
      <w:rFonts w:cstheme="minorHAnsi"/>
      <w:szCs w:val="22"/>
    </w:rPr>
  </w:style>
  <w:style w:type="paragraph" w:styleId="17">
    <w:name w:val="Balloon Text"/>
    <w:basedOn w:val="1"/>
    <w:link w:val="36"/>
    <w:semiHidden/>
    <w:unhideWhenUsed/>
    <w:qFormat/>
    <w:uiPriority w:val="99"/>
    <w:pPr>
      <w:spacing w:line="240" w:lineRule="auto"/>
    </w:pPr>
    <w:rPr>
      <w:rFonts w:ascii="Times New Roman" w:hAnsi="Times New Roman" w:cs="Times New Roman"/>
      <w:sz w:val="18"/>
      <w:szCs w:val="18"/>
    </w:rPr>
  </w:style>
  <w:style w:type="paragraph" w:styleId="18">
    <w:name w:val="footer"/>
    <w:basedOn w:val="1"/>
    <w:link w:val="32"/>
    <w:unhideWhenUsed/>
    <w:uiPriority w:val="99"/>
    <w:pPr>
      <w:tabs>
        <w:tab w:val="left" w:pos="728"/>
        <w:tab w:val="center" w:pos="4536"/>
        <w:tab w:val="right" w:pos="9072"/>
        <w:tab w:val="clear" w:pos="3572"/>
      </w:tabs>
      <w:spacing w:line="170" w:lineRule="atLeast"/>
    </w:pPr>
    <w:rPr>
      <w:b/>
      <w:bCs/>
      <w:sz w:val="14"/>
      <w:lang w:eastAsia="de-DE"/>
    </w:rPr>
  </w:style>
  <w:style w:type="paragraph" w:styleId="19">
    <w:name w:val="header"/>
    <w:basedOn w:val="18"/>
    <w:link w:val="31"/>
    <w:unhideWhenUsed/>
    <w:qFormat/>
    <w:uiPriority w:val="99"/>
    <w:pPr>
      <w:tabs>
        <w:tab w:val="clear" w:pos="4536"/>
      </w:tabs>
    </w:pPr>
  </w:style>
  <w:style w:type="paragraph" w:styleId="20">
    <w:name w:val="toc 1"/>
    <w:basedOn w:val="1"/>
    <w:next w:val="1"/>
    <w:unhideWhenUsed/>
    <w:qFormat/>
    <w:uiPriority w:val="39"/>
    <w:pPr>
      <w:tabs>
        <w:tab w:val="right" w:leader="underscore" w:pos="9185"/>
        <w:tab w:val="clear" w:pos="3572"/>
      </w:tabs>
      <w:spacing w:before="260" w:after="260"/>
      <w:ind w:left="1021" w:hanging="1021"/>
    </w:pPr>
    <w:rPr>
      <w:rFonts w:cs="Arial (Textkörper)"/>
      <w:b/>
      <w:bCs/>
      <w:color w:val="00468E" w:themeColor="accent1"/>
      <w:sz w:val="24"/>
      <w:szCs w:val="22"/>
      <w14:textFill>
        <w14:solidFill>
          <w14:schemeClr w14:val="accent1"/>
        </w14:solidFill>
      </w14:textFill>
    </w:rPr>
  </w:style>
  <w:style w:type="paragraph" w:styleId="21">
    <w:name w:val="toc 4"/>
    <w:basedOn w:val="1"/>
    <w:next w:val="1"/>
    <w:unhideWhenUsed/>
    <w:qFormat/>
    <w:uiPriority w:val="39"/>
    <w:pPr>
      <w:tabs>
        <w:tab w:val="clear" w:pos="3572"/>
      </w:tabs>
    </w:pPr>
    <w:rPr>
      <w:rFonts w:cs="Arial (Textkörper)"/>
      <w:b/>
      <w:color w:val="00468E" w:themeColor="accent1"/>
      <w:szCs w:val="22"/>
      <w14:textFill>
        <w14:solidFill>
          <w14:schemeClr w14:val="accent1"/>
        </w14:solidFill>
      </w14:textFill>
    </w:rPr>
  </w:style>
  <w:style w:type="paragraph" w:styleId="22">
    <w:name w:val="toc 6"/>
    <w:basedOn w:val="1"/>
    <w:next w:val="1"/>
    <w:semiHidden/>
    <w:unhideWhenUsed/>
    <w:qFormat/>
    <w:uiPriority w:val="39"/>
    <w:pPr>
      <w:tabs>
        <w:tab w:val="clear" w:pos="3572"/>
      </w:tabs>
    </w:pPr>
    <w:rPr>
      <w:rFonts w:cstheme="minorHAnsi"/>
      <w:szCs w:val="22"/>
    </w:rPr>
  </w:style>
  <w:style w:type="paragraph" w:styleId="23">
    <w:name w:val="toc 2"/>
    <w:basedOn w:val="1"/>
    <w:next w:val="1"/>
    <w:unhideWhenUsed/>
    <w:qFormat/>
    <w:uiPriority w:val="39"/>
    <w:pPr>
      <w:tabs>
        <w:tab w:val="right" w:leader="underscore" w:pos="9185"/>
        <w:tab w:val="clear" w:pos="3572"/>
      </w:tabs>
      <w:ind w:left="1021" w:hanging="1021"/>
    </w:pPr>
    <w:rPr>
      <w:rFonts w:cs="Arial (Textkörper)"/>
      <w:b/>
      <w:bCs/>
      <w:color w:val="00468E" w:themeColor="accent1"/>
      <w:szCs w:val="22"/>
      <w14:textFill>
        <w14:solidFill>
          <w14:schemeClr w14:val="accent1"/>
        </w14:solidFill>
      </w14:textFill>
    </w:rPr>
  </w:style>
  <w:style w:type="paragraph" w:styleId="24">
    <w:name w:val="toc 9"/>
    <w:basedOn w:val="1"/>
    <w:next w:val="1"/>
    <w:semiHidden/>
    <w:unhideWhenUsed/>
    <w:qFormat/>
    <w:uiPriority w:val="39"/>
    <w:pPr>
      <w:tabs>
        <w:tab w:val="clear" w:pos="3572"/>
      </w:tabs>
    </w:pPr>
    <w:rPr>
      <w:rFonts w:cstheme="minorHAnsi"/>
      <w:szCs w:val="22"/>
    </w:rPr>
  </w:style>
  <w:style w:type="paragraph" w:styleId="25">
    <w:name w:val="annotation subject"/>
    <w:basedOn w:val="13"/>
    <w:next w:val="13"/>
    <w:link w:val="69"/>
    <w:semiHidden/>
    <w:unhideWhenUsed/>
    <w:qFormat/>
    <w:uiPriority w:val="99"/>
    <w:rPr>
      <w:b/>
      <w:bCs/>
    </w:rPr>
  </w:style>
  <w:style w:type="table" w:styleId="27">
    <w:name w:val="Table Grid"/>
    <w:basedOn w:val="26"/>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9">
    <w:name w:val="Hyperlink"/>
    <w:basedOn w:val="28"/>
    <w:unhideWhenUsed/>
    <w:qFormat/>
    <w:uiPriority w:val="99"/>
    <w:rPr>
      <w:color w:val="000000" w:themeColor="hyperlink"/>
      <w:u w:val="single"/>
      <w14:textFill>
        <w14:solidFill>
          <w14:schemeClr w14:val="hlink"/>
        </w14:solidFill>
      </w14:textFill>
    </w:rPr>
  </w:style>
  <w:style w:type="character" w:styleId="30">
    <w:name w:val="annotation reference"/>
    <w:basedOn w:val="28"/>
    <w:semiHidden/>
    <w:unhideWhenUsed/>
    <w:qFormat/>
    <w:uiPriority w:val="99"/>
    <w:rPr>
      <w:sz w:val="16"/>
      <w:szCs w:val="16"/>
    </w:rPr>
  </w:style>
  <w:style w:type="character" w:customStyle="1" w:styleId="31">
    <w:name w:val="Header Char"/>
    <w:basedOn w:val="28"/>
    <w:link w:val="19"/>
    <w:qFormat/>
    <w:uiPriority w:val="99"/>
    <w:rPr>
      <w:rFonts w:cs="Times New Roman (Textkörper CS)"/>
      <w:b/>
      <w:bCs/>
      <w:color w:val="000000"/>
      <w:sz w:val="14"/>
      <w:lang w:eastAsia="de-DE"/>
    </w:rPr>
  </w:style>
  <w:style w:type="character" w:customStyle="1" w:styleId="32">
    <w:name w:val="Footer Char"/>
    <w:basedOn w:val="28"/>
    <w:link w:val="18"/>
    <w:qFormat/>
    <w:uiPriority w:val="99"/>
    <w:rPr>
      <w:rFonts w:cs="Times New Roman (Textkörper CS)"/>
      <w:b/>
      <w:bCs/>
      <w:color w:val="000000"/>
      <w:sz w:val="14"/>
      <w:lang w:eastAsia="de-DE"/>
    </w:rPr>
  </w:style>
  <w:style w:type="character" w:customStyle="1" w:styleId="33">
    <w:name w:val="Fettung"/>
    <w:basedOn w:val="28"/>
    <w:qFormat/>
    <w:uiPriority w:val="1"/>
    <w:rPr>
      <w:b/>
      <w:spacing w:val="-2"/>
      <w:w w:val="101"/>
    </w:rPr>
  </w:style>
  <w:style w:type="paragraph" w:customStyle="1" w:styleId="34">
    <w:name w:val="Briefdaten_Angaben"/>
    <w:basedOn w:val="1"/>
    <w:qFormat/>
    <w:uiPriority w:val="0"/>
    <w:rPr>
      <w:spacing w:val="4"/>
      <w:sz w:val="14"/>
      <w:szCs w:val="14"/>
    </w:rPr>
  </w:style>
  <w:style w:type="paragraph" w:customStyle="1" w:styleId="35">
    <w:name w:val="[Einf. Abs.]"/>
    <w:basedOn w:val="1"/>
    <w:qFormat/>
    <w:uiPriority w:val="99"/>
    <w:pPr>
      <w:autoSpaceDE w:val="0"/>
      <w:autoSpaceDN w:val="0"/>
      <w:adjustRightInd w:val="0"/>
      <w:spacing w:line="288" w:lineRule="auto"/>
      <w:textAlignment w:val="center"/>
    </w:pPr>
    <w:rPr>
      <w:rFonts w:cs="Minion Pro"/>
    </w:rPr>
  </w:style>
  <w:style w:type="character" w:customStyle="1" w:styleId="36">
    <w:name w:val="Balloon Text Char"/>
    <w:basedOn w:val="28"/>
    <w:link w:val="17"/>
    <w:semiHidden/>
    <w:qFormat/>
    <w:uiPriority w:val="99"/>
    <w:rPr>
      <w:rFonts w:ascii="Times New Roman" w:hAnsi="Times New Roman" w:cs="Times New Roman"/>
      <w:color w:val="000000"/>
      <w:sz w:val="18"/>
      <w:szCs w:val="18"/>
    </w:rPr>
  </w:style>
  <w:style w:type="paragraph" w:customStyle="1" w:styleId="37">
    <w:name w:val="Text_Tabelle"/>
    <w:basedOn w:val="1"/>
    <w:qFormat/>
    <w:uiPriority w:val="0"/>
    <w:pPr>
      <w:spacing w:line="240" w:lineRule="auto"/>
    </w:pPr>
    <w:rPr>
      <w:w w:val="101"/>
    </w:rPr>
  </w:style>
  <w:style w:type="paragraph" w:customStyle="1" w:styleId="38">
    <w:name w:val="Tabellenvorgaben"/>
    <w:basedOn w:val="1"/>
    <w:qFormat/>
    <w:uiPriority w:val="0"/>
    <w:pPr>
      <w:spacing w:line="240" w:lineRule="auto"/>
    </w:pPr>
    <w:rPr>
      <w:spacing w:val="2"/>
      <w:w w:val="101"/>
      <w:sz w:val="16"/>
      <w:szCs w:val="16"/>
    </w:rPr>
  </w:style>
  <w:style w:type="paragraph" w:customStyle="1" w:styleId="39">
    <w:name w:val="Bild"/>
    <w:basedOn w:val="1"/>
    <w:qFormat/>
    <w:uiPriority w:val="0"/>
    <w:pPr>
      <w:framePr w:wrap="around" w:vAnchor="page" w:hAnchor="page" w:x="625" w:y="2212"/>
      <w:suppressOverlap/>
      <w:spacing w:line="240" w:lineRule="auto"/>
    </w:pPr>
  </w:style>
  <w:style w:type="paragraph" w:customStyle="1" w:styleId="40">
    <w:name w:val="Titel-Headline"/>
    <w:basedOn w:val="1"/>
    <w:qFormat/>
    <w:uiPriority w:val="0"/>
    <w:pPr>
      <w:spacing w:after="1340" w:line="720" w:lineRule="atLeast"/>
    </w:pPr>
    <w:rPr>
      <w:b/>
      <w:color w:val="00468E" w:themeColor="accent1"/>
      <w:sz w:val="60"/>
      <w14:textFill>
        <w14:solidFill>
          <w14:schemeClr w14:val="accent1"/>
        </w14:solidFill>
      </w14:textFill>
    </w:rPr>
  </w:style>
  <w:style w:type="paragraph" w:customStyle="1" w:styleId="41">
    <w:name w:val="Titel-Kontakt"/>
    <w:basedOn w:val="1"/>
    <w:qFormat/>
    <w:uiPriority w:val="0"/>
    <w:pPr>
      <w:spacing w:line="220" w:lineRule="atLeast"/>
    </w:pPr>
    <w:rPr>
      <w:sz w:val="16"/>
      <w:szCs w:val="16"/>
    </w:rPr>
  </w:style>
  <w:style w:type="character" w:customStyle="1" w:styleId="42">
    <w:name w:val="Titel-Kontakt_Versal"/>
    <w:qFormat/>
    <w:uiPriority w:val="1"/>
    <w:rPr>
      <w:b/>
      <w:bCs/>
      <w:caps/>
      <w:sz w:val="16"/>
      <w:szCs w:val="16"/>
    </w:rPr>
  </w:style>
  <w:style w:type="paragraph" w:customStyle="1" w:styleId="43">
    <w:name w:val="Titel-Subline"/>
    <w:basedOn w:val="1"/>
    <w:qFormat/>
    <w:uiPriority w:val="0"/>
    <w:pPr>
      <w:spacing w:after="560" w:line="400" w:lineRule="atLeast"/>
    </w:pPr>
    <w:rPr>
      <w:b/>
      <w:color w:val="00468E" w:themeColor="accent1"/>
      <w:sz w:val="34"/>
      <w:szCs w:val="30"/>
      <w14:textFill>
        <w14:solidFill>
          <w14:schemeClr w14:val="accent1"/>
        </w14:solidFill>
      </w14:textFill>
    </w:rPr>
  </w:style>
  <w:style w:type="paragraph" w:customStyle="1" w:styleId="44">
    <w:name w:val="Änderungsdienst-Text"/>
    <w:basedOn w:val="1"/>
    <w:qFormat/>
    <w:uiPriority w:val="0"/>
    <w:rPr>
      <w:szCs w:val="20"/>
    </w:rPr>
  </w:style>
  <w:style w:type="paragraph" w:customStyle="1" w:styleId="45">
    <w:name w:val="Datenschutz"/>
    <w:basedOn w:val="44"/>
    <w:qFormat/>
    <w:uiPriority w:val="0"/>
    <w:pPr>
      <w:spacing w:line="220" w:lineRule="atLeast"/>
    </w:pPr>
    <w:rPr>
      <w:sz w:val="16"/>
    </w:rPr>
  </w:style>
  <w:style w:type="character" w:customStyle="1" w:styleId="46">
    <w:name w:val="Heading 1 Char"/>
    <w:basedOn w:val="28"/>
    <w:link w:val="2"/>
    <w:qFormat/>
    <w:uiPriority w:val="9"/>
    <w:rPr>
      <w:rFonts w:asciiTheme="majorHAnsi" w:hAnsiTheme="majorHAnsi" w:eastAsiaTheme="majorEastAsia" w:cstheme="majorBidi"/>
      <w:b/>
      <w:color w:val="00468E" w:themeColor="accent1"/>
      <w:szCs w:val="32"/>
      <w14:textFill>
        <w14:solidFill>
          <w14:schemeClr w14:val="accent1"/>
        </w14:solidFill>
      </w14:textFill>
    </w:rPr>
  </w:style>
  <w:style w:type="character" w:customStyle="1" w:styleId="47">
    <w:name w:val="Heading 2 Char"/>
    <w:basedOn w:val="28"/>
    <w:link w:val="3"/>
    <w:qFormat/>
    <w:uiPriority w:val="9"/>
    <w:rPr>
      <w:rFonts w:asciiTheme="majorHAnsi" w:hAnsiTheme="majorHAnsi" w:eastAsiaTheme="majorEastAsia" w:cstheme="majorBidi"/>
      <w:b/>
      <w:color w:val="00346B" w:themeColor="accent1" w:themeShade="BF"/>
      <w:sz w:val="20"/>
      <w:szCs w:val="26"/>
    </w:rPr>
  </w:style>
  <w:style w:type="paragraph" w:styleId="48">
    <w:name w:val="List Paragraph"/>
    <w:basedOn w:val="1"/>
    <w:qFormat/>
    <w:uiPriority w:val="34"/>
    <w:pPr>
      <w:ind w:left="720"/>
      <w:contextualSpacing/>
    </w:pPr>
  </w:style>
  <w:style w:type="paragraph" w:customStyle="1" w:styleId="49">
    <w:name w:val="Aufzählungen_1"/>
    <w:basedOn w:val="4"/>
    <w:qFormat/>
    <w:uiPriority w:val="0"/>
    <w:pPr>
      <w:numPr>
        <w:ilvl w:val="0"/>
        <w:numId w:val="2"/>
      </w:numPr>
      <w:spacing w:line="240" w:lineRule="atLeast"/>
    </w:pPr>
    <w:rPr>
      <w:sz w:val="18"/>
      <w:szCs w:val="18"/>
    </w:rPr>
  </w:style>
  <w:style w:type="character" w:customStyle="1" w:styleId="50">
    <w:name w:val="Heading 3 Char"/>
    <w:basedOn w:val="28"/>
    <w:link w:val="5"/>
    <w:qFormat/>
    <w:uiPriority w:val="9"/>
    <w:rPr>
      <w:rFonts w:asciiTheme="majorHAnsi" w:hAnsiTheme="majorHAnsi" w:eastAsiaTheme="majorEastAsia" w:cstheme="majorBidi"/>
      <w:b/>
      <w:color w:val="00468E" w:themeColor="accent1"/>
      <w:sz w:val="20"/>
      <w14:textFill>
        <w14:solidFill>
          <w14:schemeClr w14:val="accent1"/>
        </w14:solidFill>
      </w14:textFill>
    </w:rPr>
  </w:style>
  <w:style w:type="character" w:customStyle="1" w:styleId="51">
    <w:name w:val="Heading 4 Char"/>
    <w:basedOn w:val="28"/>
    <w:link w:val="6"/>
    <w:qFormat/>
    <w:uiPriority w:val="9"/>
    <w:rPr>
      <w:rFonts w:asciiTheme="majorHAnsi" w:hAnsiTheme="majorHAnsi" w:eastAsiaTheme="majorEastAsia" w:cstheme="majorBidi"/>
      <w:b/>
      <w:iCs/>
      <w:color w:val="00468E" w:themeColor="accent1"/>
      <w:sz w:val="20"/>
      <w14:textFill>
        <w14:solidFill>
          <w14:schemeClr w14:val="accent1"/>
        </w14:solidFill>
      </w14:textFill>
    </w:rPr>
  </w:style>
  <w:style w:type="character" w:customStyle="1" w:styleId="52">
    <w:name w:val="Heading 5 Char"/>
    <w:basedOn w:val="28"/>
    <w:link w:val="7"/>
    <w:semiHidden/>
    <w:qFormat/>
    <w:uiPriority w:val="9"/>
    <w:rPr>
      <w:rFonts w:asciiTheme="majorHAnsi" w:hAnsiTheme="majorHAnsi" w:eastAsiaTheme="majorEastAsia" w:cstheme="majorBidi"/>
      <w:color w:val="00346B" w:themeColor="accent1" w:themeShade="BF"/>
      <w:sz w:val="20"/>
    </w:rPr>
  </w:style>
  <w:style w:type="character" w:customStyle="1" w:styleId="53">
    <w:name w:val="Heading 6 Char"/>
    <w:basedOn w:val="28"/>
    <w:link w:val="8"/>
    <w:semiHidden/>
    <w:qFormat/>
    <w:uiPriority w:val="9"/>
    <w:rPr>
      <w:rFonts w:asciiTheme="majorHAnsi" w:hAnsiTheme="majorHAnsi" w:eastAsiaTheme="majorEastAsia" w:cstheme="majorBidi"/>
      <w:color w:val="002347" w:themeColor="accent1" w:themeShade="80"/>
      <w:sz w:val="20"/>
    </w:rPr>
  </w:style>
  <w:style w:type="character" w:customStyle="1" w:styleId="54">
    <w:name w:val="Heading 7 Char"/>
    <w:basedOn w:val="28"/>
    <w:link w:val="9"/>
    <w:semiHidden/>
    <w:qFormat/>
    <w:uiPriority w:val="9"/>
    <w:rPr>
      <w:rFonts w:asciiTheme="majorHAnsi" w:hAnsiTheme="majorHAnsi" w:eastAsiaTheme="majorEastAsia" w:cstheme="majorBidi"/>
      <w:i/>
      <w:iCs/>
      <w:color w:val="002347" w:themeColor="accent1" w:themeShade="80"/>
      <w:sz w:val="20"/>
    </w:rPr>
  </w:style>
  <w:style w:type="character" w:customStyle="1" w:styleId="55">
    <w:name w:val="Heading 8 Char"/>
    <w:basedOn w:val="28"/>
    <w:link w:val="10"/>
    <w:semiHidden/>
    <w:qFormat/>
    <w:uiPriority w:val="9"/>
    <w:rPr>
      <w:rFonts w:asciiTheme="majorHAnsi" w:hAnsiTheme="majorHAnsi" w:eastAsiaTheme="majorEastAsia" w:cstheme="majorBidi"/>
      <w:color w:val="677786" w:themeColor="text1" w:themeTint="D9"/>
      <w:sz w:val="21"/>
      <w:szCs w:val="21"/>
      <w14:textFill>
        <w14:solidFill>
          <w14:schemeClr w14:val="tx1">
            <w14:lumMod w14:val="85000"/>
            <w14:lumOff w14:val="15000"/>
          </w14:schemeClr>
        </w14:solidFill>
      </w14:textFill>
    </w:rPr>
  </w:style>
  <w:style w:type="character" w:customStyle="1" w:styleId="56">
    <w:name w:val="Heading 9 Char"/>
    <w:basedOn w:val="28"/>
    <w:link w:val="11"/>
    <w:semiHidden/>
    <w:qFormat/>
    <w:uiPriority w:val="9"/>
    <w:rPr>
      <w:rFonts w:asciiTheme="majorHAnsi" w:hAnsiTheme="majorHAnsi" w:eastAsiaTheme="majorEastAsia" w:cstheme="majorBidi"/>
      <w:i/>
      <w:iCs/>
      <w:color w:val="677786" w:themeColor="text1" w:themeTint="D9"/>
      <w:sz w:val="21"/>
      <w:szCs w:val="21"/>
      <w14:textFill>
        <w14:solidFill>
          <w14:schemeClr w14:val="tx1">
            <w14:lumMod w14:val="85000"/>
            <w14:lumOff w14:val="15000"/>
          </w14:schemeClr>
        </w14:solidFill>
      </w14:textFill>
    </w:rPr>
  </w:style>
  <w:style w:type="paragraph" w:customStyle="1" w:styleId="57">
    <w:name w:val="Aufzählung_2"/>
    <w:basedOn w:val="4"/>
    <w:qFormat/>
    <w:uiPriority w:val="0"/>
    <w:pPr>
      <w:numPr>
        <w:ilvl w:val="0"/>
        <w:numId w:val="3"/>
      </w:numPr>
      <w:ind w:left="1474" w:hanging="227"/>
    </w:pPr>
  </w:style>
  <w:style w:type="paragraph" w:customStyle="1" w:styleId="58">
    <w:name w:val="Aufzählung_Zahl"/>
    <w:basedOn w:val="4"/>
    <w:qFormat/>
    <w:uiPriority w:val="0"/>
    <w:pPr>
      <w:numPr>
        <w:ilvl w:val="0"/>
        <w:numId w:val="4"/>
      </w:numPr>
      <w:ind w:left="1248"/>
    </w:pPr>
  </w:style>
  <w:style w:type="paragraph" w:customStyle="1" w:styleId="59">
    <w:name w:val="Kontaktdaten_Titel"/>
    <w:basedOn w:val="1"/>
    <w:qFormat/>
    <w:uiPriority w:val="0"/>
    <w:pPr>
      <w:spacing w:line="220" w:lineRule="atLeast"/>
    </w:pPr>
    <w:rPr>
      <w:sz w:val="16"/>
    </w:rPr>
  </w:style>
  <w:style w:type="paragraph" w:customStyle="1" w:styleId="60">
    <w:name w:val="Abbildung"/>
    <w:basedOn w:val="4"/>
    <w:next w:val="4"/>
    <w:qFormat/>
    <w:uiPriority w:val="0"/>
    <w:pPr>
      <w:spacing w:before="200" w:after="500" w:line="240" w:lineRule="auto"/>
    </w:pPr>
    <w:rPr>
      <w:sz w:val="17"/>
    </w:rPr>
  </w:style>
  <w:style w:type="paragraph" w:customStyle="1" w:styleId="61">
    <w:name w:val="TOC Heading1"/>
    <w:basedOn w:val="2"/>
    <w:next w:val="1"/>
    <w:unhideWhenUsed/>
    <w:qFormat/>
    <w:uiPriority w:val="39"/>
    <w:pPr>
      <w:numPr>
        <w:numId w:val="0"/>
      </w:numPr>
      <w:spacing w:before="480" w:after="0" w:line="276" w:lineRule="auto"/>
      <w:outlineLvl w:val="9"/>
    </w:pPr>
    <w:rPr>
      <w:bCs/>
      <w:sz w:val="28"/>
      <w:szCs w:val="28"/>
      <w:lang w:eastAsia="de-DE"/>
    </w:rPr>
  </w:style>
  <w:style w:type="paragraph" w:customStyle="1" w:styleId="62">
    <w:name w:val="Details"/>
    <w:basedOn w:val="1"/>
    <w:qFormat/>
    <w:uiPriority w:val="0"/>
    <w:pPr>
      <w:spacing w:line="240" w:lineRule="atLeast"/>
    </w:pPr>
    <w:rPr>
      <w:b/>
      <w:bCs/>
      <w:color w:val="525F6B" w:themeColor="text1"/>
      <w:sz w:val="18"/>
      <w:szCs w:val="18"/>
      <w14:textFill>
        <w14:solidFill>
          <w14:schemeClr w14:val="tx1"/>
        </w14:solidFill>
      </w14:textFill>
    </w:rPr>
  </w:style>
  <w:style w:type="paragraph" w:customStyle="1" w:styleId="63">
    <w:name w:val="Kontaktdaten"/>
    <w:basedOn w:val="1"/>
    <w:link w:val="64"/>
    <w:qFormat/>
    <w:uiPriority w:val="0"/>
    <w:pPr>
      <w:tabs>
        <w:tab w:val="center" w:pos="4536"/>
        <w:tab w:val="right" w:pos="9072"/>
      </w:tabs>
      <w:spacing w:line="170" w:lineRule="atLeast"/>
    </w:pPr>
    <w:rPr>
      <w:color w:val="3E3D40"/>
      <w:spacing w:val="2"/>
      <w:sz w:val="14"/>
    </w:rPr>
  </w:style>
  <w:style w:type="character" w:customStyle="1" w:styleId="64">
    <w:name w:val="Kontaktdaten Zchn"/>
    <w:basedOn w:val="28"/>
    <w:link w:val="63"/>
    <w:qFormat/>
    <w:uiPriority w:val="0"/>
    <w:rPr>
      <w:rFonts w:cs="Times New Roman (Textkörper CS)"/>
      <w:color w:val="3E3D40"/>
      <w:spacing w:val="2"/>
      <w:sz w:val="14"/>
    </w:rPr>
  </w:style>
  <w:style w:type="paragraph" w:customStyle="1" w:styleId="65">
    <w:name w:val="Linie"/>
    <w:basedOn w:val="43"/>
    <w:qFormat/>
    <w:uiPriority w:val="0"/>
    <w:pPr>
      <w:spacing w:after="60" w:line="240" w:lineRule="auto"/>
    </w:pPr>
    <w:rPr>
      <w:color w:val="000000"/>
    </w:rPr>
  </w:style>
  <w:style w:type="paragraph" w:customStyle="1" w:styleId="66">
    <w:name w:val="Dachzeile"/>
    <w:basedOn w:val="43"/>
    <w:qFormat/>
    <w:uiPriority w:val="0"/>
    <w:pPr>
      <w:spacing w:after="200" w:line="260" w:lineRule="atLeast"/>
    </w:pPr>
    <w:rPr>
      <w:color w:val="000000"/>
      <w:sz w:val="20"/>
    </w:rPr>
  </w:style>
  <w:style w:type="paragraph" w:customStyle="1" w:styleId="67">
    <w:name w:val="Info_Kontaktseite"/>
    <w:basedOn w:val="4"/>
    <w:qFormat/>
    <w:uiPriority w:val="0"/>
    <w:pPr>
      <w:pageBreakBefore/>
      <w:spacing w:line="240" w:lineRule="atLeast"/>
    </w:pPr>
    <w:rPr>
      <w:sz w:val="18"/>
    </w:rPr>
  </w:style>
  <w:style w:type="character" w:customStyle="1" w:styleId="68">
    <w:name w:val="Comment Text Char"/>
    <w:basedOn w:val="28"/>
    <w:link w:val="13"/>
    <w:qFormat/>
    <w:uiPriority w:val="99"/>
    <w:rPr>
      <w:rFonts w:cs="Times New Roman (Textkörper CS)"/>
      <w:color w:val="000000"/>
      <w:sz w:val="20"/>
      <w:szCs w:val="20"/>
    </w:rPr>
  </w:style>
  <w:style w:type="character" w:customStyle="1" w:styleId="69">
    <w:name w:val="Comment Subject Char"/>
    <w:basedOn w:val="68"/>
    <w:link w:val="25"/>
    <w:semiHidden/>
    <w:qFormat/>
    <w:uiPriority w:val="99"/>
    <w:rPr>
      <w:rFonts w:cs="Times New Roman (Textkörper CS)"/>
      <w:b/>
      <w:bCs/>
      <w:color w:val="000000"/>
      <w:sz w:val="20"/>
      <w:szCs w:val="20"/>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2.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6.jpeg"/><Relationship Id="rId12" Type="http://schemas.openxmlformats.org/officeDocument/2006/relationships/image" Target="media/image5.jpeg"/><Relationship Id="rId11" Type="http://schemas.openxmlformats.org/officeDocument/2006/relationships/image" Target="media/image4.jpeg"/><Relationship Id="rId10" Type="http://schemas.openxmlformats.org/officeDocument/2006/relationships/image" Target="media/image3.jpe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noAutofit/>
      </a:bodyPr>
      <a:lst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8724309-8505-4CA6-8E1B-EA0AA1B27F25}">
  <ds:schemaRefs/>
</ds:datastoreItem>
</file>

<file path=docProps/app.xml><?xml version="1.0" encoding="utf-8"?>
<Properties xmlns="http://schemas.openxmlformats.org/officeDocument/2006/extended-properties" xmlns:vt="http://schemas.openxmlformats.org/officeDocument/2006/docPropsVTypes">
  <Template>Normal.dotm</Template>
  <Company>p.a.t. GmbH</Company>
  <Pages>6</Pages>
  <Words>425</Words>
  <Characters>2424</Characters>
  <Lines>20</Lines>
  <Paragraphs>5</Paragraphs>
  <TotalTime>29</TotalTime>
  <ScaleCrop>false</ScaleCrop>
  <LinksUpToDate>false</LinksUpToDate>
  <CharactersWithSpaces>2844</CharactersWithSpaces>
  <Application>WPS Office_11.1.0.10700_F1E327BC-269C-435d-A152-05C5408002CA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2021-09-13T02:49:00Z</dcterms:created>
  <dc:creator>Sandra Schön</dc:creator>
  <cp:lastModifiedBy>Ning</cp:lastModifiedBy>
  <cp:lastPrinted>2019-05-29T11:27:00Z</cp:lastPrinted>
  <dcterms:modified xsi:type="dcterms:W3CDTF">2021-10-19T06:07:24Z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A763C10FD3F44809B1E1864D1F9D9265</vt:lpwstr>
  </property>
</Properties>
</file>