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77777777" w:rsidR="00282680" w:rsidRPr="00521CF5" w:rsidRDefault="00901D5D" w:rsidP="00064547">
      <w:pPr>
        <w:pStyle w:val="Titel-Headline"/>
      </w:pPr>
      <w:r w:rsidRPr="00064547">
        <w:t>Pressemitteilung</w:t>
      </w:r>
    </w:p>
    <w:bookmarkStart w:id="0" w:name="Untertitel"/>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3081A2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7AE29CB" w14:textId="0B55D44B" w:rsidR="008B530C" w:rsidRPr="0004799E" w:rsidRDefault="008B530C" w:rsidP="008B530C">
      <w:pPr>
        <w:pStyle w:val="Default"/>
        <w:jc w:val="both"/>
        <w:rPr>
          <w:rFonts w:ascii="Arial" w:hAnsi="Arial" w:cs="Arial"/>
          <w:b/>
          <w:bCs/>
          <w:sz w:val="22"/>
          <w:szCs w:val="22"/>
        </w:rPr>
      </w:pPr>
      <w:r w:rsidRPr="0004799E">
        <w:rPr>
          <w:rFonts w:ascii="Arial" w:hAnsi="Arial" w:cs="Arial"/>
          <w:b/>
          <w:bCs/>
          <w:sz w:val="22"/>
          <w:szCs w:val="22"/>
        </w:rPr>
        <w:t xml:space="preserve">Robotertechnologie und Lackierkomponenten als kompatible Lösungen für automatisierte Lackierverfahren </w:t>
      </w:r>
    </w:p>
    <w:p w14:paraId="61FE9B89" w14:textId="77777777" w:rsidR="008B530C" w:rsidRPr="00152F94" w:rsidRDefault="008B530C" w:rsidP="008B530C">
      <w:pPr>
        <w:pStyle w:val="Default"/>
        <w:jc w:val="both"/>
        <w:rPr>
          <w:b/>
          <w:bCs/>
          <w:sz w:val="22"/>
          <w:szCs w:val="22"/>
        </w:rPr>
      </w:pPr>
    </w:p>
    <w:p w14:paraId="37ADB1C0" w14:textId="77777777" w:rsidR="00DB137C" w:rsidRDefault="00DB137C" w:rsidP="00FA2184">
      <w:pPr>
        <w:pStyle w:val="Flietext"/>
        <w:rPr>
          <w:rStyle w:val="Fettung"/>
          <w:color w:val="00468E" w:themeColor="accent1"/>
          <w:spacing w:val="0"/>
          <w:w w:val="100"/>
          <w:sz w:val="34"/>
          <w:szCs w:val="30"/>
        </w:rPr>
      </w:pPr>
      <w:r w:rsidRPr="00DB137C">
        <w:rPr>
          <w:b/>
          <w:color w:val="00468E" w:themeColor="accent1"/>
          <w:sz w:val="34"/>
          <w:szCs w:val="30"/>
        </w:rPr>
        <w:t>ready2integrate: Dürr und Kawasaki Robotics stellen automatisiertes Lackiersystem vor</w:t>
      </w:r>
      <w:r w:rsidRPr="00DB137C">
        <w:rPr>
          <w:rStyle w:val="Fettung"/>
          <w:color w:val="00468E" w:themeColor="accent1"/>
          <w:spacing w:val="0"/>
          <w:w w:val="100"/>
          <w:sz w:val="34"/>
          <w:szCs w:val="30"/>
        </w:rPr>
        <w:t xml:space="preserve"> </w:t>
      </w:r>
    </w:p>
    <w:p w14:paraId="4691B4EE" w14:textId="77777777" w:rsidR="00DB137C" w:rsidRDefault="00DB137C" w:rsidP="00FA2184">
      <w:pPr>
        <w:pStyle w:val="Flietext"/>
        <w:rPr>
          <w:rStyle w:val="Fettung"/>
          <w:color w:val="00468E" w:themeColor="accent1"/>
          <w:spacing w:val="0"/>
          <w:w w:val="100"/>
          <w:sz w:val="34"/>
          <w:szCs w:val="30"/>
        </w:rPr>
      </w:pPr>
    </w:p>
    <w:p w14:paraId="213C051D" w14:textId="2DE81FF1" w:rsidR="00AF4F8B" w:rsidRPr="008B530C" w:rsidRDefault="00DB137C" w:rsidP="00FA2184">
      <w:pPr>
        <w:pStyle w:val="Flietext"/>
        <w:rPr>
          <w:b/>
          <w:spacing w:val="-2"/>
          <w:w w:val="101"/>
        </w:rPr>
      </w:pPr>
      <w:r>
        <w:rPr>
          <w:b/>
          <w:bCs/>
        </w:rPr>
        <w:t xml:space="preserve">Neuss/Bietigheim-Bissingen, </w:t>
      </w:r>
      <w:r w:rsidR="00E87F83">
        <w:rPr>
          <w:rStyle w:val="Fettung"/>
        </w:rPr>
        <w:t>10</w:t>
      </w:r>
      <w:r w:rsidR="003C53D7" w:rsidRPr="00FC272A">
        <w:rPr>
          <w:rStyle w:val="Fettung"/>
        </w:rPr>
        <w:t>.</w:t>
      </w:r>
      <w:r w:rsidR="00E87F83">
        <w:rPr>
          <w:rStyle w:val="Fettung"/>
        </w:rPr>
        <w:t xml:space="preserve"> Oktober </w:t>
      </w:r>
      <w:r w:rsidRPr="00DB137C">
        <w:rPr>
          <w:b/>
          <w:bCs/>
        </w:rPr>
        <w:t>202</w:t>
      </w:r>
      <w:r w:rsidR="00625F85">
        <w:rPr>
          <w:b/>
          <w:bCs/>
        </w:rPr>
        <w:t>3</w:t>
      </w:r>
      <w:r w:rsidRPr="00DB137C">
        <w:rPr>
          <w:b/>
          <w:bCs/>
        </w:rPr>
        <w:t xml:space="preserve"> </w:t>
      </w:r>
      <w:r w:rsidR="00B361C2" w:rsidRPr="00DB137C">
        <w:rPr>
          <w:rStyle w:val="Fettung"/>
        </w:rPr>
        <w:t xml:space="preserve">– </w:t>
      </w:r>
      <w:r w:rsidR="008B72B2">
        <w:rPr>
          <w:rStyle w:val="Fettung"/>
        </w:rPr>
        <w:t xml:space="preserve">In der Automobilindustrie schon </w:t>
      </w:r>
      <w:r w:rsidR="00E06CC0">
        <w:rPr>
          <w:rStyle w:val="Fettung"/>
        </w:rPr>
        <w:t>lange Standard, branchenübergreifen</w:t>
      </w:r>
      <w:r w:rsidR="00B0229E">
        <w:rPr>
          <w:rStyle w:val="Fettung"/>
        </w:rPr>
        <w:t xml:space="preserve">d nun auch </w:t>
      </w:r>
      <w:r w:rsidR="005A6D06">
        <w:rPr>
          <w:rStyle w:val="Fettung"/>
        </w:rPr>
        <w:t>stark nach</w:t>
      </w:r>
      <w:r w:rsidR="00B0229E">
        <w:rPr>
          <w:rStyle w:val="Fettung"/>
        </w:rPr>
        <w:t xml:space="preserve">gefragt: </w:t>
      </w:r>
      <w:r w:rsidR="00C6632D">
        <w:rPr>
          <w:rStyle w:val="Fettung"/>
        </w:rPr>
        <w:t>automatische, flexible und hochqualitative Lackierverfahren</w:t>
      </w:r>
      <w:r w:rsidR="00A56C1D">
        <w:rPr>
          <w:rStyle w:val="Fettung"/>
        </w:rPr>
        <w:t>.</w:t>
      </w:r>
      <w:r w:rsidR="00C6632D">
        <w:rPr>
          <w:rStyle w:val="Fettung"/>
        </w:rPr>
        <w:t xml:space="preserve"> Dürr passt deshalb seine Lackiertechnik speziell auf Robotiklösungen </w:t>
      </w:r>
      <w:r w:rsidR="00D25BD8" w:rsidRPr="00C5587A">
        <w:rPr>
          <w:rStyle w:val="Fettung"/>
          <w:color w:val="auto"/>
        </w:rPr>
        <w:t>der allgemeinen Industrie</w:t>
      </w:r>
      <w:r w:rsidR="001C4B0F">
        <w:rPr>
          <w:rStyle w:val="Fettung"/>
        </w:rPr>
        <w:t xml:space="preserve"> </w:t>
      </w:r>
      <w:r w:rsidR="00C6632D">
        <w:rPr>
          <w:rStyle w:val="Fettung"/>
        </w:rPr>
        <w:t xml:space="preserve">an. </w:t>
      </w:r>
      <w:r w:rsidR="00AA35BF">
        <w:rPr>
          <w:rStyle w:val="Fettung"/>
        </w:rPr>
        <w:t>In der jüngsten Kooperation mit Kawasaki Robotics</w:t>
      </w:r>
      <w:r w:rsidRPr="00DB137C">
        <w:rPr>
          <w:rStyle w:val="Fettung"/>
        </w:rPr>
        <w:t xml:space="preserve"> haben beide Partner Produkte aus ihrem jeweiligen Portfolio so aufbereitet, dass sie elektromechanisch miteinander kompatibel sind. Roboter und Lackierequipment sind dadurch deutlich einfacher und schneller zu einem robotergestützten Lackiersystem zu </w:t>
      </w:r>
      <w:r w:rsidR="0004799E">
        <w:rPr>
          <w:rStyle w:val="Fettung"/>
        </w:rPr>
        <w:t xml:space="preserve">verbinden. </w:t>
      </w:r>
    </w:p>
    <w:p w14:paraId="1EE81EF3" w14:textId="77777777" w:rsidR="0026127D" w:rsidRPr="0004799E" w:rsidRDefault="0026127D" w:rsidP="0026127D">
      <w:pPr>
        <w:pStyle w:val="Flietext"/>
      </w:pPr>
    </w:p>
    <w:p w14:paraId="3BFE2CB2" w14:textId="095E8E5D" w:rsidR="00DB137C" w:rsidRPr="00DB137C" w:rsidRDefault="00DB137C" w:rsidP="005D5CD4">
      <w:pPr>
        <w:pStyle w:val="Flietext"/>
        <w:rPr>
          <w:rStyle w:val="Fettung"/>
        </w:rPr>
      </w:pPr>
      <w:r w:rsidRPr="00DB137C">
        <w:rPr>
          <w:rStyle w:val="Fettung"/>
        </w:rPr>
        <w:t xml:space="preserve">Komplette </w:t>
      </w:r>
      <w:r w:rsidRPr="00781FD4">
        <w:rPr>
          <w:rStyle w:val="Fettung"/>
          <w:color w:val="auto"/>
        </w:rPr>
        <w:t xml:space="preserve">Lackierlösungen </w:t>
      </w:r>
      <w:r w:rsidR="001C4B0F" w:rsidRPr="00781FD4">
        <w:rPr>
          <w:rStyle w:val="Fettung"/>
          <w:color w:val="auto"/>
        </w:rPr>
        <w:t xml:space="preserve">in der allgemeinen Industrie </w:t>
      </w:r>
      <w:r w:rsidRPr="00781FD4">
        <w:rPr>
          <w:rStyle w:val="Fettung"/>
          <w:color w:val="auto"/>
        </w:rPr>
        <w:t xml:space="preserve">schneller </w:t>
      </w:r>
      <w:r w:rsidRPr="00DB137C">
        <w:rPr>
          <w:rStyle w:val="Fettung"/>
        </w:rPr>
        <w:t>umsetzen</w:t>
      </w:r>
    </w:p>
    <w:p w14:paraId="7590137C" w14:textId="15AACA24" w:rsidR="00AA35BF" w:rsidRDefault="00DB137C" w:rsidP="00FB3D58">
      <w:r w:rsidRPr="00DB137C">
        <w:t>In dem Konzept „ready2integrate“ sind ab sofort verschiedene Dürr-Produkte verfügbar, deren Schnittstellen perfekt mit Kawasaki-Robotern harmonieren – darunter Dosierpumpen, Farbwechsler</w:t>
      </w:r>
      <w:r w:rsidR="007F340B">
        <w:t>,</w:t>
      </w:r>
      <w:r w:rsidRPr="00DB137C">
        <w:t xml:space="preserve"> Lackierpistolen</w:t>
      </w:r>
      <w:r w:rsidR="007F340B">
        <w:t xml:space="preserve"> und die </w:t>
      </w:r>
      <w:r w:rsidR="007F340B" w:rsidRPr="0008778A">
        <w:rPr>
          <w:b/>
          <w:bCs/>
        </w:rPr>
        <w:t>Eco</w:t>
      </w:r>
      <w:r w:rsidR="007F340B">
        <w:t>Bell2</w:t>
      </w:r>
      <w:r w:rsidRPr="00DB137C">
        <w:t xml:space="preserve">. </w:t>
      </w:r>
      <w:r w:rsidR="001C4B0F" w:rsidRPr="008108DC">
        <w:rPr>
          <w:color w:val="auto"/>
        </w:rPr>
        <w:t xml:space="preserve">Ausgewählte </w:t>
      </w:r>
      <w:r w:rsidR="00AA35BF" w:rsidRPr="00DB137C">
        <w:t xml:space="preserve">Kawasaki-Roboter </w:t>
      </w:r>
      <w:r w:rsidR="00AA35BF" w:rsidRPr="008108DC">
        <w:rPr>
          <w:color w:val="auto"/>
        </w:rPr>
        <w:t>wurde</w:t>
      </w:r>
      <w:r w:rsidR="001C4B0F" w:rsidRPr="008108DC">
        <w:rPr>
          <w:color w:val="auto"/>
        </w:rPr>
        <w:t>n</w:t>
      </w:r>
      <w:r w:rsidR="00AA35BF" w:rsidRPr="008108DC">
        <w:rPr>
          <w:color w:val="auto"/>
        </w:rPr>
        <w:t xml:space="preserve"> </w:t>
      </w:r>
      <w:r w:rsidR="00AA35BF" w:rsidRPr="00DB137C">
        <w:t xml:space="preserve">auf die etablierte Dürr-Steuerung </w:t>
      </w:r>
      <w:r w:rsidR="00AA35BF" w:rsidRPr="00C22349">
        <w:rPr>
          <w:b/>
        </w:rPr>
        <w:t>Eco</w:t>
      </w:r>
      <w:r w:rsidR="00AA35BF" w:rsidRPr="00DB137C">
        <w:t xml:space="preserve">AUC abgestimmt, darunter der Hochgeschwindigkeitsroboter RS007L und der neue Lackierroboter KJ155. </w:t>
      </w:r>
      <w:r w:rsidRPr="00DB137C">
        <w:t xml:space="preserve">Mithilfe einer einfachen Auswahlmatrix können Kawasaki- und Dürr-Produkte ausgewählt werden, die zueinander passen und in kürzester Zeit installiert und in Betrieb genommen werden können. </w:t>
      </w:r>
      <w:r w:rsidR="002866BE">
        <w:t>Mehrere gemeinsame Kundenprojekte laufen bereits.</w:t>
      </w:r>
    </w:p>
    <w:p w14:paraId="5A8760EA" w14:textId="6004DE79" w:rsidR="0002273A" w:rsidRPr="00FB3D58" w:rsidRDefault="00DB137C" w:rsidP="00FB3D58">
      <w:r w:rsidRPr="00DB137C">
        <w:lastRenderedPageBreak/>
        <w:t>„Wir wollen einem breiten</w:t>
      </w:r>
      <w:r w:rsidR="008B530C">
        <w:t xml:space="preserve"> </w:t>
      </w:r>
      <w:r w:rsidRPr="00DB137C">
        <w:t xml:space="preserve">Feld an Betrieben die Möglichkeit eröffnen, ihre Lackierprozesse zu automatisieren. Deshalb ist es entscheidend, dass der Aufwand und die Hürden für Integratoren und Endkunden minimal sind“, erklärt </w:t>
      </w:r>
      <w:r w:rsidR="005812AB">
        <w:t>Ulrich Tautz</w:t>
      </w:r>
      <w:r w:rsidRPr="00DB137C">
        <w:t xml:space="preserve">, Vertriebsleiter </w:t>
      </w:r>
      <w:r w:rsidR="00AA35BF">
        <w:t xml:space="preserve">für </w:t>
      </w:r>
      <w:r w:rsidR="005812AB">
        <w:t>Industrial Products</w:t>
      </w:r>
      <w:r w:rsidR="00AA35BF">
        <w:t xml:space="preserve"> </w:t>
      </w:r>
      <w:r w:rsidRPr="00DB137C">
        <w:t xml:space="preserve">bei Dürr. „Genau darauf zielt unser ready2integrate-Konzept. </w:t>
      </w:r>
      <w:r w:rsidR="009838D1">
        <w:t>Dazu gehört</w:t>
      </w:r>
      <w:r w:rsidR="00C819FA">
        <w:t xml:space="preserve"> die passgenaue Abstimmung unserer Lackiertechnik mit führender Industrierobotik. </w:t>
      </w:r>
      <w:r w:rsidRPr="00DB137C">
        <w:t>Mit den Kawasaki-Robotern und der kompatiblen Dürr-Applikations- und Steuerungstechnik erweitern wir die ready2integrate-Produktpalette optimal.“</w:t>
      </w:r>
    </w:p>
    <w:p w14:paraId="5B8B26F7" w14:textId="77777777" w:rsidR="00DB137C" w:rsidRPr="0004799E" w:rsidRDefault="00DB137C" w:rsidP="00FB3D58">
      <w:pPr>
        <w:rPr>
          <w:rStyle w:val="Fettung"/>
        </w:rPr>
      </w:pPr>
    </w:p>
    <w:p w14:paraId="13279905" w14:textId="77777777" w:rsidR="00DB137C" w:rsidRDefault="00DB137C" w:rsidP="00FB3D58">
      <w:pPr>
        <w:rPr>
          <w:rStyle w:val="Fettung"/>
        </w:rPr>
      </w:pPr>
      <w:r w:rsidRPr="00DB137C">
        <w:rPr>
          <w:rStyle w:val="Fettung"/>
        </w:rPr>
        <w:t xml:space="preserve">Modernste Technologie verbunden mit Nutzerfreundlichkeit und Wirtschaftlichkeit </w:t>
      </w:r>
    </w:p>
    <w:p w14:paraId="27943E20" w14:textId="2C5D8B23" w:rsidR="0002273A" w:rsidRDefault="006830EA" w:rsidP="00FB3D58">
      <w:r>
        <w:t xml:space="preserve">Marc Kluge, Team Leader Marketing </w:t>
      </w:r>
      <w:r w:rsidR="002F3999" w:rsidRPr="006830EA">
        <w:t>bei</w:t>
      </w:r>
      <w:r w:rsidR="00DB137C" w:rsidRPr="006830EA">
        <w:t xml:space="preserve"> Kawasaki Robotics</w:t>
      </w:r>
      <w:r w:rsidR="00DB137C" w:rsidRPr="00DB137C">
        <w:t>, sieht ein großes Potenzial in der Kooperation: „Dürr ist ein globaler Marktführer für Lackiertechnologie und für Kawasaki Robotics der perfekte Partner, um State-of-the-art-Lösungen mit Nutzerfreundlichkeit und Wirtschaftlichkeit zu verbinden. Es war großartig zu sehen, wie unsere Teams ihr Know-how und ihre Ideen zusammengebracht haben</w:t>
      </w:r>
      <w:r w:rsidR="008208C5">
        <w:t>,</w:t>
      </w:r>
      <w:r w:rsidR="00DB137C" w:rsidRPr="00DB137C">
        <w:t xml:space="preserve"> und wir freuen uns sehr, unsere gemeinsam erzielten Ergebnisse nun auf den Markt zu bringen.“</w:t>
      </w:r>
    </w:p>
    <w:p w14:paraId="228787E3" w14:textId="77777777" w:rsidR="00DB137C" w:rsidRPr="00DB137C" w:rsidRDefault="00DB137C" w:rsidP="00FB3D58"/>
    <w:p w14:paraId="4A234AB6" w14:textId="77777777" w:rsidR="00902358" w:rsidRPr="0004799E" w:rsidRDefault="00902358" w:rsidP="00D9165E">
      <w:pPr>
        <w:pStyle w:val="Flietext"/>
      </w:pPr>
    </w:p>
    <w:p w14:paraId="46F5FC30" w14:textId="77777777" w:rsidR="00EB2996" w:rsidRPr="0004799E" w:rsidRDefault="00EB2996" w:rsidP="00D9165E">
      <w:pPr>
        <w:pStyle w:val="Flietext"/>
      </w:pPr>
      <w:r w:rsidRPr="0004799E">
        <w:br w:type="page"/>
      </w:r>
    </w:p>
    <w:p w14:paraId="45563B60" w14:textId="77777777" w:rsidR="004E72B8" w:rsidRPr="004E72B8" w:rsidRDefault="004E72B8" w:rsidP="004E72B8">
      <w:pPr>
        <w:pStyle w:val="Flietext"/>
      </w:pPr>
    </w:p>
    <w:p w14:paraId="3CB4B34E" w14:textId="7995BF48" w:rsidR="00476746" w:rsidRDefault="009308F4" w:rsidP="00476746">
      <w:pPr>
        <w:pStyle w:val="Abbildung"/>
      </w:pPr>
      <w:r>
        <w:rPr>
          <w:noProof/>
          <w:lang w:eastAsia="de-DE"/>
        </w:rPr>
        <w:drawing>
          <wp:inline distT="0" distB="0" distL="0" distR="0" wp14:anchorId="4C22E847" wp14:editId="7D938082">
            <wp:extent cx="3421096" cy="2160000"/>
            <wp:effectExtent l="0" t="0" r="8255" b="0"/>
            <wp:docPr id="3" name="Grafik 3"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enthält.&#10;&#10;Automatisch generierte Beschreibung"/>
                    <pic:cNvPicPr/>
                  </pic:nvPicPr>
                  <pic:blipFill rotWithShape="1">
                    <a:blip r:embed="rId12"/>
                    <a:srcRect t="2894" b="2308"/>
                    <a:stretch/>
                  </pic:blipFill>
                  <pic:spPr bwMode="auto">
                    <a:xfrm>
                      <a:off x="0" y="0"/>
                      <a:ext cx="3421096" cy="2160000"/>
                    </a:xfrm>
                    <a:prstGeom prst="rect">
                      <a:avLst/>
                    </a:prstGeom>
                    <a:ln>
                      <a:noFill/>
                    </a:ln>
                    <a:extLst>
                      <a:ext uri="{53640926-AAD7-44D8-BBD7-CCE9431645EC}">
                        <a14:shadowObscured xmlns:a14="http://schemas.microsoft.com/office/drawing/2010/main"/>
                      </a:ext>
                    </a:extLst>
                  </pic:spPr>
                </pic:pic>
              </a:graphicData>
            </a:graphic>
          </wp:inline>
        </w:drawing>
      </w:r>
      <w:r w:rsidR="007227F7">
        <w:br/>
      </w:r>
      <w:r w:rsidR="007227F7">
        <w:br/>
      </w:r>
      <w:r w:rsidR="00476746" w:rsidRPr="00726BFA">
        <w:rPr>
          <w:rStyle w:val="Fettung"/>
        </w:rPr>
        <w:t xml:space="preserve">Abbildung </w:t>
      </w:r>
      <w:r w:rsidR="00C819FA">
        <w:rPr>
          <w:rStyle w:val="Fettung"/>
        </w:rPr>
        <w:t>1</w:t>
      </w:r>
      <w:r w:rsidR="00476746" w:rsidRPr="004F4E97">
        <w:t xml:space="preserve">: </w:t>
      </w:r>
      <w:r w:rsidR="007227F7">
        <w:t xml:space="preserve">Kawasaki </w:t>
      </w:r>
      <w:r w:rsidR="007227F7" w:rsidRPr="007227F7">
        <w:t>RS007L</w:t>
      </w:r>
      <w:r w:rsidR="007227F7">
        <w:t xml:space="preserve"> mit integrierter Applikationstechnik von Dürr</w:t>
      </w:r>
    </w:p>
    <w:p w14:paraId="45EE4286" w14:textId="2DE3B2C9" w:rsidR="009308F4" w:rsidRDefault="009308F4" w:rsidP="009308F4">
      <w:pPr>
        <w:pStyle w:val="Flietext"/>
      </w:pPr>
      <w:r>
        <w:rPr>
          <w:noProof/>
          <w:lang w:eastAsia="de-DE"/>
        </w:rPr>
        <w:drawing>
          <wp:inline distT="0" distB="0" distL="0" distR="0" wp14:anchorId="134E9CDE" wp14:editId="2F4662FB">
            <wp:extent cx="3243141" cy="2160000"/>
            <wp:effectExtent l="0" t="0" r="0" b="0"/>
            <wp:docPr id="9" name="Grafik 9" descr="Ein Bild, das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Ausguss enthält.&#10;&#10;Automatisch generierte Beschreibung"/>
                    <pic:cNvPicPr/>
                  </pic:nvPicPr>
                  <pic:blipFill>
                    <a:blip r:embed="rId13"/>
                    <a:stretch>
                      <a:fillRect/>
                    </a:stretch>
                  </pic:blipFill>
                  <pic:spPr>
                    <a:xfrm>
                      <a:off x="0" y="0"/>
                      <a:ext cx="3243141" cy="2160000"/>
                    </a:xfrm>
                    <a:prstGeom prst="rect">
                      <a:avLst/>
                    </a:prstGeom>
                  </pic:spPr>
                </pic:pic>
              </a:graphicData>
            </a:graphic>
          </wp:inline>
        </w:drawing>
      </w:r>
    </w:p>
    <w:p w14:paraId="7B4F9106" w14:textId="00D8233F" w:rsidR="004F65B3" w:rsidRDefault="009308F4" w:rsidP="007227F7">
      <w:pPr>
        <w:pStyle w:val="Abbildung"/>
      </w:pPr>
      <w:r w:rsidRPr="00726BFA">
        <w:rPr>
          <w:rStyle w:val="Fettung"/>
        </w:rPr>
        <w:t xml:space="preserve">Abbildung </w:t>
      </w:r>
      <w:r w:rsidR="00C819FA">
        <w:rPr>
          <w:rStyle w:val="Fettung"/>
        </w:rPr>
        <w:t>2</w:t>
      </w:r>
      <w:r w:rsidRPr="004F4E97">
        <w:t xml:space="preserve">: </w:t>
      </w:r>
      <w:r w:rsidR="007227F7">
        <w:t xml:space="preserve">Kawasaki </w:t>
      </w:r>
      <w:r w:rsidR="007227F7" w:rsidRPr="007227F7">
        <w:t>KJ155</w:t>
      </w:r>
      <w:r w:rsidR="007227F7">
        <w:t xml:space="preserve"> mit Applikationstechnik von Dürr</w:t>
      </w:r>
    </w:p>
    <w:p w14:paraId="54298E0F" w14:textId="5244E366" w:rsidR="0004799E" w:rsidRPr="0004799E" w:rsidRDefault="0004799E" w:rsidP="0004799E">
      <w:pPr>
        <w:pStyle w:val="InfoKontaktseite"/>
        <w:pageBreakBefore w:val="0"/>
        <w:spacing w:line="330" w:lineRule="atLeast"/>
        <w:rPr>
          <w:b/>
          <w:sz w:val="22"/>
        </w:rPr>
      </w:pPr>
      <w:r w:rsidRPr="0004799E">
        <w:rPr>
          <w:b/>
          <w:sz w:val="22"/>
        </w:rPr>
        <w:t>Über Kawasaki Robotics</w:t>
      </w:r>
    </w:p>
    <w:p w14:paraId="5EBF11E2" w14:textId="14DBED41" w:rsidR="00DB137C" w:rsidRDefault="00DB137C" w:rsidP="00CE44BD">
      <w:pPr>
        <w:pStyle w:val="InfoKontaktseite"/>
        <w:pageBreakBefore w:val="0"/>
      </w:pPr>
      <w:r w:rsidRPr="008B530C">
        <w:t>Kawasaki Robotics (</w:t>
      </w:r>
      <w:hyperlink r:id="rId14" w:history="1">
        <w:r w:rsidR="008B530C" w:rsidRPr="008B530C">
          <w:rPr>
            <w:rStyle w:val="Hyperlink"/>
          </w:rPr>
          <w:t>www.kawasakirobotics.de</w:t>
        </w:r>
      </w:hyperlink>
      <w:r w:rsidRPr="008B530C">
        <w:t>)</w:t>
      </w:r>
      <w:r w:rsidRPr="00DB137C">
        <w:t xml:space="preserve">, mit seiner EMEA Zentrale in Neuss, ist ein weltweit führender Anbieter von Industrierobotern und robotergesteuerten Automatisierungssystemen, die einen weiten Bereich von Anwendungen auf der ganzen Welt abdecken. Mit mehr als 50 Jahren Robotererfahrung und einem umfangreichen Portfolio liefert Kawasaki Roboter für alle Branchen von Semicon bis Automotive. </w:t>
      </w:r>
    </w:p>
    <w:p w14:paraId="33F88EC2" w14:textId="77777777" w:rsidR="00DB137C" w:rsidRDefault="00DB137C" w:rsidP="00CE44BD">
      <w:pPr>
        <w:pStyle w:val="InfoKontaktseite"/>
        <w:pageBreakBefore w:val="0"/>
      </w:pPr>
    </w:p>
    <w:p w14:paraId="58D45BAE" w14:textId="77777777" w:rsidR="00AC279E" w:rsidRDefault="00AC279E" w:rsidP="0004799E">
      <w:pPr>
        <w:pStyle w:val="InfoKontaktseite"/>
        <w:pageBreakBefore w:val="0"/>
        <w:spacing w:line="330" w:lineRule="atLeast"/>
        <w:rPr>
          <w:b/>
          <w:sz w:val="22"/>
        </w:rPr>
      </w:pPr>
    </w:p>
    <w:p w14:paraId="0C7136F5" w14:textId="77777777" w:rsidR="00AC279E" w:rsidRDefault="00AC279E" w:rsidP="0004799E">
      <w:pPr>
        <w:pStyle w:val="InfoKontaktseite"/>
        <w:pageBreakBefore w:val="0"/>
        <w:spacing w:line="330" w:lineRule="atLeast"/>
        <w:rPr>
          <w:b/>
          <w:sz w:val="22"/>
        </w:rPr>
      </w:pPr>
    </w:p>
    <w:p w14:paraId="5503C4CA" w14:textId="128B59E2" w:rsidR="00AC279E" w:rsidRDefault="00AC279E" w:rsidP="00AC279E">
      <w:pPr>
        <w:pStyle w:val="Disclaimer"/>
        <w:spacing w:line="276" w:lineRule="auto"/>
        <w:rPr>
          <w:rStyle w:val="DisclaimerZchn"/>
          <w:b/>
          <w:bCs/>
          <w:color w:val="auto"/>
          <w:sz w:val="22"/>
          <w:szCs w:val="22"/>
        </w:rPr>
      </w:pPr>
      <w:r w:rsidRPr="00AC279E">
        <w:rPr>
          <w:rStyle w:val="DisclaimerZchn"/>
          <w:b/>
          <w:bCs/>
          <w:color w:val="auto"/>
          <w:sz w:val="22"/>
          <w:szCs w:val="22"/>
        </w:rPr>
        <w:lastRenderedPageBreak/>
        <w:t>Über Dürr</w:t>
      </w:r>
    </w:p>
    <w:p w14:paraId="461B9089" w14:textId="77777777" w:rsidR="00721444" w:rsidRDefault="00721444" w:rsidP="00721444">
      <w:pPr>
        <w:pStyle w:val="Disclaimer"/>
        <w:rPr>
          <w:rStyle w:val="DisclaimerZchn"/>
          <w:color w:val="auto"/>
          <w:sz w:val="18"/>
          <w:szCs w:val="18"/>
        </w:rPr>
      </w:pPr>
      <w:r w:rsidRPr="00721444">
        <w:rPr>
          <w:rStyle w:val="DisclaimerZchn"/>
          <w:color w:val="auto"/>
          <w:sz w:val="18"/>
          <w:szCs w:val="18"/>
        </w:rPr>
        <w:t>Der Dürr-Konzern ist ein weltweit führender Maschinen- und Anlagenbauer mit ausgeprägter Kompetenz in den Bereichen Automatisierung, Digitalisierung und Energieeffizienz. Seine Produkte, Systeme und Services ermöglichen hocheffiziente und nachhaltige Fertigungsprozesse in unterschiedlichen Industrien. Der Dürr-Konzern beliefert vor allem die Automobilindustrie, Produzenten von Möbeln und Holzhäusern sowie die Branchen Chemie, Pharma, Medizinprodukte und Elektro. Im Jahr 2022 erzielte er einen Umsatz von 4,3 Mrd. €. Das Unternehmen hat rund 19.000 Beschäftigte und verfügt über 123 Standorte in 32 Ländern. Der Dürr-Konzern agiert mit den drei Marken Dürr, Schenck und HOMAG sowie mit fünf Divisions am Markt:</w:t>
      </w:r>
    </w:p>
    <w:p w14:paraId="187A9F41" w14:textId="77777777" w:rsidR="00721444" w:rsidRPr="00721444" w:rsidRDefault="00721444" w:rsidP="00721444">
      <w:pPr>
        <w:pStyle w:val="Disclaimer"/>
        <w:rPr>
          <w:rStyle w:val="DisclaimerZchn"/>
          <w:color w:val="auto"/>
          <w:sz w:val="18"/>
          <w:szCs w:val="18"/>
        </w:rPr>
      </w:pPr>
    </w:p>
    <w:p w14:paraId="2A84BD00" w14:textId="77777777" w:rsidR="00721444" w:rsidRPr="00721444" w:rsidRDefault="00721444" w:rsidP="00721444">
      <w:pPr>
        <w:pStyle w:val="BeschreibungDivisions"/>
        <w:rPr>
          <w:color w:val="auto"/>
          <w:sz w:val="18"/>
          <w:szCs w:val="18"/>
        </w:rPr>
      </w:pPr>
      <w:r w:rsidRPr="00721444">
        <w:rPr>
          <w:b/>
          <w:bCs/>
          <w:color w:val="auto"/>
          <w:sz w:val="18"/>
          <w:szCs w:val="18"/>
        </w:rPr>
        <w:t>Paint and Final Assembly Systems</w:t>
      </w:r>
      <w:r w:rsidRPr="00721444">
        <w:rPr>
          <w:color w:val="auto"/>
          <w:sz w:val="18"/>
          <w:szCs w:val="18"/>
        </w:rPr>
        <w:t>: Lackierereien sowie Endmontage-, Prüf- und Befülltechnik für die Automobilindustrie, Montage- und Prüfsysteme für Medizinprodukte</w:t>
      </w:r>
    </w:p>
    <w:p w14:paraId="41536BB0" w14:textId="77777777" w:rsidR="00721444" w:rsidRPr="00721444" w:rsidRDefault="00721444" w:rsidP="00721444">
      <w:pPr>
        <w:pStyle w:val="BeschreibungDivisions"/>
        <w:rPr>
          <w:color w:val="auto"/>
          <w:sz w:val="18"/>
          <w:szCs w:val="18"/>
        </w:rPr>
      </w:pPr>
      <w:r w:rsidRPr="00721444">
        <w:rPr>
          <w:b/>
          <w:bCs/>
          <w:color w:val="auto"/>
          <w:sz w:val="18"/>
          <w:szCs w:val="18"/>
        </w:rPr>
        <w:t>Application Technology</w:t>
      </w:r>
      <w:r w:rsidRPr="00721444">
        <w:rPr>
          <w:color w:val="auto"/>
          <w:sz w:val="18"/>
          <w:szCs w:val="18"/>
        </w:rPr>
        <w:t xml:space="preserve">: Robotertechnologien für den automatischen Auftrag von Lack sowie Dicht- und Klebstoffen </w:t>
      </w:r>
    </w:p>
    <w:p w14:paraId="38570BBD" w14:textId="77777777" w:rsidR="00721444" w:rsidRPr="00721444" w:rsidRDefault="00721444" w:rsidP="00721444">
      <w:pPr>
        <w:pStyle w:val="BeschreibungDivisions"/>
        <w:rPr>
          <w:color w:val="auto"/>
          <w:sz w:val="18"/>
          <w:szCs w:val="18"/>
        </w:rPr>
      </w:pPr>
      <w:r w:rsidRPr="00721444">
        <w:rPr>
          <w:b/>
          <w:bCs/>
          <w:color w:val="auto"/>
          <w:sz w:val="18"/>
          <w:szCs w:val="18"/>
        </w:rPr>
        <w:t>Clean Technology Systems</w:t>
      </w:r>
      <w:r w:rsidRPr="00721444">
        <w:rPr>
          <w:color w:val="auto"/>
          <w:sz w:val="18"/>
          <w:szCs w:val="18"/>
        </w:rPr>
        <w:t>: Abluftreinigungsanlagen, Beschichtungsanlagen für Batterieelektroden und Schallschutzsysteme</w:t>
      </w:r>
    </w:p>
    <w:p w14:paraId="7E6A3277" w14:textId="77777777" w:rsidR="00721444" w:rsidRPr="00721444" w:rsidRDefault="00721444" w:rsidP="00721444">
      <w:pPr>
        <w:pStyle w:val="BeschreibungDivisions"/>
        <w:rPr>
          <w:color w:val="auto"/>
          <w:sz w:val="18"/>
          <w:szCs w:val="18"/>
        </w:rPr>
      </w:pPr>
      <w:r w:rsidRPr="00721444">
        <w:rPr>
          <w:b/>
          <w:bCs/>
          <w:color w:val="auto"/>
          <w:sz w:val="18"/>
          <w:szCs w:val="18"/>
        </w:rPr>
        <w:t>Measuring and Process Systems</w:t>
      </w:r>
      <w:r w:rsidRPr="00721444">
        <w:rPr>
          <w:color w:val="auto"/>
          <w:sz w:val="18"/>
          <w:szCs w:val="18"/>
        </w:rPr>
        <w:t xml:space="preserve">: Auswuchtanlagen und Diagnosetechnik </w:t>
      </w:r>
    </w:p>
    <w:p w14:paraId="4B1EF325" w14:textId="77777777" w:rsidR="00721444" w:rsidRPr="00721444" w:rsidRDefault="00721444" w:rsidP="00721444">
      <w:pPr>
        <w:pStyle w:val="BeschreibungDivisions"/>
        <w:rPr>
          <w:color w:val="auto"/>
          <w:sz w:val="18"/>
          <w:szCs w:val="18"/>
        </w:rPr>
      </w:pPr>
      <w:r w:rsidRPr="00721444">
        <w:rPr>
          <w:b/>
          <w:bCs/>
          <w:color w:val="auto"/>
          <w:sz w:val="18"/>
          <w:szCs w:val="18"/>
        </w:rPr>
        <w:t>Woodworking Machinery and Systems</w:t>
      </w:r>
      <w:r w:rsidRPr="00721444">
        <w:rPr>
          <w:color w:val="auto"/>
          <w:sz w:val="18"/>
          <w:szCs w:val="18"/>
        </w:rPr>
        <w:t>: Maschinen und Anlagen für die holzbearbeitende Industrie</w:t>
      </w:r>
    </w:p>
    <w:p w14:paraId="7B65417D" w14:textId="77777777" w:rsidR="00721444" w:rsidRDefault="00721444" w:rsidP="00AC279E">
      <w:pPr>
        <w:pStyle w:val="Disclaimer"/>
        <w:spacing w:line="276" w:lineRule="auto"/>
        <w:rPr>
          <w:rStyle w:val="DisclaimerZchn"/>
          <w:b/>
          <w:bCs/>
          <w:color w:val="auto"/>
          <w:sz w:val="22"/>
          <w:szCs w:val="22"/>
        </w:rPr>
      </w:pPr>
    </w:p>
    <w:p w14:paraId="7BF74B2E" w14:textId="77777777" w:rsidR="00AC279E" w:rsidRDefault="00AC279E" w:rsidP="00AC279E">
      <w:pPr>
        <w:tabs>
          <w:tab w:val="left" w:pos="0"/>
          <w:tab w:val="left" w:pos="851"/>
          <w:tab w:val="left" w:pos="4253"/>
        </w:tabs>
        <w:spacing w:line="276" w:lineRule="auto"/>
        <w:ind w:right="284"/>
        <w:rPr>
          <w:rFonts w:ascii="Arial" w:hAnsi="Arial" w:cs="Arial"/>
        </w:rPr>
      </w:pPr>
    </w:p>
    <w:p w14:paraId="590C1D51" w14:textId="77777777" w:rsidR="00AC279E" w:rsidRPr="00B17605" w:rsidRDefault="00AC279E" w:rsidP="00AC279E">
      <w:pPr>
        <w:spacing w:line="280" w:lineRule="atLeast"/>
        <w:rPr>
          <w:rStyle w:val="Fettung"/>
        </w:rPr>
      </w:pPr>
      <w:r w:rsidRPr="00B17605">
        <w:rPr>
          <w:rStyle w:val="Fettung"/>
        </w:rPr>
        <w:t>Kontakt</w:t>
      </w:r>
    </w:p>
    <w:p w14:paraId="40CDA523" w14:textId="77777777" w:rsidR="00AC279E" w:rsidRPr="00B17605" w:rsidRDefault="00AC279E" w:rsidP="00AC279E">
      <w:pPr>
        <w:spacing w:line="280" w:lineRule="atLeast"/>
      </w:pPr>
      <w:r w:rsidRPr="00B17605">
        <w:t>Dürr Systems AG</w:t>
      </w:r>
    </w:p>
    <w:p w14:paraId="2C44FB18" w14:textId="5A6FB157" w:rsidR="00AC279E" w:rsidRPr="00B17605" w:rsidRDefault="00303C42" w:rsidP="00AC279E">
      <w:pPr>
        <w:spacing w:line="280" w:lineRule="atLeast"/>
      </w:pPr>
      <w:r>
        <w:t>Carina Lachnit</w:t>
      </w:r>
    </w:p>
    <w:p w14:paraId="6D619737" w14:textId="77777777" w:rsidR="00AC279E" w:rsidRPr="00433F0D" w:rsidRDefault="00AC279E" w:rsidP="00AC279E">
      <w:pPr>
        <w:spacing w:line="280" w:lineRule="atLeast"/>
        <w:rPr>
          <w:lang w:val="en-US"/>
        </w:rPr>
      </w:pPr>
      <w:r w:rsidRPr="00433F0D">
        <w:rPr>
          <w:lang w:val="en-US"/>
        </w:rPr>
        <w:t>Marketing</w:t>
      </w:r>
    </w:p>
    <w:p w14:paraId="53F30E78" w14:textId="079455BE" w:rsidR="00AC279E" w:rsidRPr="00122379" w:rsidRDefault="00AC279E" w:rsidP="00AC279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sidR="00124760">
        <w:rPr>
          <w:rFonts w:ascii="Arial" w:hAnsi="Arial" w:cs="Arial"/>
          <w:lang w:val="it-IT"/>
        </w:rPr>
        <w:t>4899</w:t>
      </w:r>
    </w:p>
    <w:p w14:paraId="2E7EE43E" w14:textId="1DC1C529" w:rsidR="00AC279E" w:rsidRDefault="00AC279E" w:rsidP="00AC279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hyperlink r:id="rId15" w:history="1">
        <w:r w:rsidR="00721444" w:rsidRPr="00BF55BA">
          <w:rPr>
            <w:rStyle w:val="Hyperlink"/>
            <w:rFonts w:ascii="Arial" w:hAnsi="Arial" w:cs="Arial"/>
            <w:lang w:val="it-IT"/>
          </w:rPr>
          <w:t>carina.lachnit@durr.com</w:t>
        </w:r>
      </w:hyperlink>
    </w:p>
    <w:p w14:paraId="5506DF69" w14:textId="77777777" w:rsidR="00AC279E" w:rsidRPr="00122379" w:rsidRDefault="00000000" w:rsidP="00AC279E">
      <w:pPr>
        <w:tabs>
          <w:tab w:val="left" w:pos="0"/>
          <w:tab w:val="left" w:pos="851"/>
          <w:tab w:val="left" w:pos="4253"/>
        </w:tabs>
        <w:spacing w:line="276" w:lineRule="auto"/>
        <w:ind w:right="284"/>
        <w:rPr>
          <w:rFonts w:ascii="Arial" w:hAnsi="Arial" w:cs="Arial"/>
          <w:lang w:val="it-IT"/>
        </w:rPr>
      </w:pPr>
      <w:hyperlink r:id="rId16" w:history="1">
        <w:r w:rsidR="00AC279E" w:rsidRPr="002A19C0">
          <w:rPr>
            <w:rStyle w:val="Hyperlink"/>
            <w:rFonts w:ascii="Arial" w:hAnsi="Arial" w:cs="Arial"/>
            <w:lang w:val="it-IT"/>
          </w:rPr>
          <w:t>www.durr.com</w:t>
        </w:r>
      </w:hyperlink>
      <w:r w:rsidR="00AC279E">
        <w:rPr>
          <w:rFonts w:ascii="Arial" w:hAnsi="Arial" w:cs="Arial"/>
          <w:lang w:val="it-IT"/>
        </w:rPr>
        <w:t xml:space="preserve"> </w:t>
      </w:r>
    </w:p>
    <w:p w14:paraId="03B5A487" w14:textId="77777777" w:rsidR="00AC279E" w:rsidRPr="00433F0D" w:rsidRDefault="00AC279E" w:rsidP="00AC279E">
      <w:pPr>
        <w:tabs>
          <w:tab w:val="left" w:pos="0"/>
          <w:tab w:val="left" w:pos="851"/>
          <w:tab w:val="left" w:pos="4253"/>
        </w:tabs>
        <w:spacing w:line="276" w:lineRule="auto"/>
        <w:ind w:right="284"/>
        <w:rPr>
          <w:rFonts w:ascii="Arial" w:hAnsi="Arial" w:cs="Arial"/>
          <w:lang w:val="en-US"/>
        </w:rPr>
      </w:pPr>
      <w:r w:rsidRPr="00433F0D">
        <w:rPr>
          <w:rFonts w:ascii="Arial" w:hAnsi="Arial" w:cs="Arial"/>
          <w:lang w:val="en-US"/>
        </w:rPr>
        <w:t xml:space="preserve"> </w:t>
      </w:r>
    </w:p>
    <w:p w14:paraId="131F3F34" w14:textId="78C72C12" w:rsidR="0004799E" w:rsidRPr="007227F7" w:rsidRDefault="0004799E" w:rsidP="00637F9A">
      <w:pPr>
        <w:spacing w:line="280" w:lineRule="atLeast"/>
        <w:rPr>
          <w:rStyle w:val="Hyperlink"/>
          <w:rFonts w:ascii="Arial" w:eastAsia="Times New Roman" w:hAnsi="Arial" w:cs="Arial"/>
          <w:lang w:val="en-US" w:eastAsia="de-DE"/>
        </w:rPr>
      </w:pPr>
    </w:p>
    <w:p w14:paraId="10461FE0" w14:textId="77777777" w:rsidR="0004799E" w:rsidRPr="004E72B8" w:rsidRDefault="0004799E" w:rsidP="0004799E">
      <w:pPr>
        <w:spacing w:line="280" w:lineRule="atLeast"/>
        <w:rPr>
          <w:lang w:val="en-US"/>
        </w:rPr>
      </w:pPr>
      <w:r w:rsidRPr="004E72B8">
        <w:rPr>
          <w:lang w:val="en-US"/>
        </w:rPr>
        <w:t>Kawasaki Robotics GmbH</w:t>
      </w:r>
    </w:p>
    <w:p w14:paraId="15FDC1FE" w14:textId="77777777" w:rsidR="0004799E" w:rsidRPr="0004799E" w:rsidRDefault="0004799E" w:rsidP="00637F9A">
      <w:pPr>
        <w:spacing w:line="280" w:lineRule="atLeast"/>
        <w:rPr>
          <w:lang w:val="en-US"/>
        </w:rPr>
      </w:pPr>
      <w:r w:rsidRPr="0004799E">
        <w:rPr>
          <w:lang w:val="en-US"/>
        </w:rPr>
        <w:t xml:space="preserve">Marc Kluge </w:t>
      </w:r>
    </w:p>
    <w:p w14:paraId="2202991C" w14:textId="05FBB1C4" w:rsidR="0004799E" w:rsidRPr="0004799E" w:rsidRDefault="0004799E" w:rsidP="00637F9A">
      <w:pPr>
        <w:spacing w:line="280" w:lineRule="atLeast"/>
        <w:rPr>
          <w:lang w:val="en-US"/>
        </w:rPr>
      </w:pPr>
      <w:r w:rsidRPr="0004799E">
        <w:rPr>
          <w:lang w:val="en-US"/>
        </w:rPr>
        <w:t>Marketing</w:t>
      </w:r>
    </w:p>
    <w:p w14:paraId="0CC6F885" w14:textId="77777777" w:rsidR="0004799E" w:rsidRPr="0004799E" w:rsidRDefault="0004799E" w:rsidP="00637F9A">
      <w:pPr>
        <w:spacing w:line="280" w:lineRule="atLeast"/>
        <w:rPr>
          <w:lang w:val="en-US"/>
        </w:rPr>
      </w:pPr>
      <w:r w:rsidRPr="0004799E">
        <w:rPr>
          <w:lang w:val="en-US"/>
        </w:rPr>
        <w:t xml:space="preserve">Tel.: 02131 3426245 </w:t>
      </w:r>
    </w:p>
    <w:p w14:paraId="0BF2B616" w14:textId="6289F15F" w:rsidR="0004799E" w:rsidRPr="0004799E" w:rsidRDefault="0004799E" w:rsidP="00637F9A">
      <w:pPr>
        <w:spacing w:line="280" w:lineRule="atLeast"/>
        <w:rPr>
          <w:lang w:val="en-US"/>
        </w:rPr>
      </w:pPr>
      <w:r w:rsidRPr="0004799E">
        <w:rPr>
          <w:lang w:val="en-US"/>
        </w:rPr>
        <w:t xml:space="preserve">E-Mail: </w:t>
      </w:r>
      <w:r>
        <w:rPr>
          <w:lang w:val="en-US"/>
        </w:rPr>
        <w:t>m.kluge@kawasakirobotics.de</w:t>
      </w:r>
    </w:p>
    <w:sectPr w:rsidR="0004799E" w:rsidRPr="0004799E" w:rsidSect="00B143FE">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32679" w14:textId="77777777" w:rsidR="00B81626" w:rsidRDefault="00B81626" w:rsidP="00D9165E">
      <w:r>
        <w:separator/>
      </w:r>
    </w:p>
  </w:endnote>
  <w:endnote w:type="continuationSeparator" w:id="0">
    <w:p w14:paraId="1635A919" w14:textId="77777777" w:rsidR="00B81626" w:rsidRDefault="00B81626"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0EFD5" w14:textId="1DC16587" w:rsidR="00433F0D" w:rsidRDefault="00433F0D">
    <w:pPr>
      <w:pStyle w:val="Fuzeile"/>
    </w:pPr>
    <w:r>
      <mc:AlternateContent>
        <mc:Choice Requires="wps">
          <w:drawing>
            <wp:anchor distT="0" distB="0" distL="0" distR="0" simplePos="0" relativeHeight="251676672" behindDoc="0" locked="0" layoutInCell="1" allowOverlap="1" wp14:anchorId="1F60BFE4" wp14:editId="4F2DB17B">
              <wp:simplePos x="635" y="635"/>
              <wp:positionH relativeFrom="page">
                <wp:align>center</wp:align>
              </wp:positionH>
              <wp:positionV relativeFrom="page">
                <wp:align>bottom</wp:align>
              </wp:positionV>
              <wp:extent cx="443865" cy="443865"/>
              <wp:effectExtent l="0" t="0" r="13335" b="0"/>
              <wp:wrapNone/>
              <wp:docPr id="2" name="Text Box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1698CB" w14:textId="78F07CAF" w:rsidR="00433F0D" w:rsidRPr="00433F0D" w:rsidRDefault="00433F0D" w:rsidP="00433F0D">
                          <w:pPr>
                            <w:rPr>
                              <w:rFonts w:ascii="Calibri" w:eastAsia="Calibri" w:hAnsi="Calibri" w:cs="Calibri"/>
                              <w:noProof/>
                              <w:sz w:val="20"/>
                              <w:szCs w:val="20"/>
                            </w:rPr>
                          </w:pPr>
                          <w:r w:rsidRPr="00433F0D">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60BFE4" id="_x0000_t202" coordsize="21600,21600" o:spt="202" path="m,l,21600r21600,l21600,xe">
              <v:stroke joinstyle="miter"/>
              <v:path gradientshapeok="t" o:connecttype="rect"/>
            </v:shapetype>
            <v:shape id="Text Box 2" o:spid="_x0000_s1027" type="#_x0000_t202" alt="Internal use only" style="position:absolute;margin-left:0;margin-top:0;width:34.95pt;height:34.95pt;z-index:25167667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71698CB" w14:textId="78F07CAF" w:rsidR="00433F0D" w:rsidRPr="00433F0D" w:rsidRDefault="00433F0D" w:rsidP="00433F0D">
                    <w:pPr>
                      <w:rPr>
                        <w:rFonts w:ascii="Calibri" w:eastAsia="Calibri" w:hAnsi="Calibri" w:cs="Calibri"/>
                        <w:noProof/>
                        <w:sz w:val="20"/>
                        <w:szCs w:val="20"/>
                      </w:rPr>
                    </w:pPr>
                    <w:r w:rsidRPr="00433F0D">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482FF2A2"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E87F83">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87F83">
      <w:instrText>4</w:instrText>
    </w:r>
    <w:r w:rsidRPr="005218C8">
      <w:fldChar w:fldCharType="end"/>
    </w:r>
    <w:r w:rsidRPr="005218C8">
      <w:instrText>/</w:instrText>
    </w:r>
    <w:fldSimple w:instr=" NUMPAGES  \* MERGEFORMAT ">
      <w:r w:rsidR="00E87F83">
        <w:instrText>4</w:instrText>
      </w:r>
    </w:fldSimple>
    <w:r w:rsidRPr="005218C8">
      <w:instrText>" "</w:instrText>
    </w:r>
    <w:r w:rsidRPr="005218C8">
      <w:fldChar w:fldCharType="separate"/>
    </w:r>
    <w:r w:rsidR="00E87F83">
      <w:t>4</w:t>
    </w:r>
    <w:r w:rsidR="00E87F83" w:rsidRPr="005218C8">
      <w:t>/</w:t>
    </w:r>
    <w:r w:rsidR="00E87F83">
      <w:t>4</w:t>
    </w:r>
    <w:r w:rsidRPr="005218C8">
      <w:fldChar w:fldCharType="end"/>
    </w:r>
    <w:r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31E65F1"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E87F83">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87F83">
      <w:instrText>1</w:instrText>
    </w:r>
    <w:r w:rsidRPr="005218C8">
      <w:fldChar w:fldCharType="end"/>
    </w:r>
    <w:r w:rsidRPr="005218C8">
      <w:instrText>/</w:instrText>
    </w:r>
    <w:fldSimple w:instr=" NUMPAGES  \* MERGEFORMAT ">
      <w:r w:rsidR="00E87F83">
        <w:instrText>4</w:instrText>
      </w:r>
    </w:fldSimple>
    <w:r w:rsidRPr="005218C8">
      <w:instrText>" "</w:instrText>
    </w:r>
    <w:r w:rsidRPr="005218C8">
      <w:fldChar w:fldCharType="separate"/>
    </w:r>
    <w:r w:rsidR="00E87F83">
      <w:t>1</w:t>
    </w:r>
    <w:r w:rsidR="00E87F83" w:rsidRPr="005218C8">
      <w:t>/</w:t>
    </w:r>
    <w:r w:rsidR="00E87F83">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8BC16" w14:textId="77777777" w:rsidR="00B81626" w:rsidRDefault="00B81626" w:rsidP="00D9165E">
      <w:r>
        <w:separator/>
      </w:r>
    </w:p>
  </w:footnote>
  <w:footnote w:type="continuationSeparator" w:id="0">
    <w:p w14:paraId="1AF6AE10" w14:textId="77777777" w:rsidR="00B81626" w:rsidRDefault="00B81626"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C23A88D"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C23A88D"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433EA1CD"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433EA1CD"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32856711">
    <w:abstractNumId w:val="3"/>
  </w:num>
  <w:num w:numId="2" w16cid:durableId="12584174">
    <w:abstractNumId w:val="15"/>
  </w:num>
  <w:num w:numId="3" w16cid:durableId="1976258128">
    <w:abstractNumId w:val="5"/>
  </w:num>
  <w:num w:numId="4" w16cid:durableId="113788141">
    <w:abstractNumId w:val="8"/>
  </w:num>
  <w:num w:numId="5" w16cid:durableId="1480876273">
    <w:abstractNumId w:val="12"/>
  </w:num>
  <w:num w:numId="6" w16cid:durableId="458956830">
    <w:abstractNumId w:val="2"/>
  </w:num>
  <w:num w:numId="7" w16cid:durableId="1517309420">
    <w:abstractNumId w:val="17"/>
  </w:num>
  <w:num w:numId="8" w16cid:durableId="1676029513">
    <w:abstractNumId w:val="7"/>
  </w:num>
  <w:num w:numId="9" w16cid:durableId="1680622217">
    <w:abstractNumId w:val="16"/>
  </w:num>
  <w:num w:numId="10" w16cid:durableId="1980914690">
    <w:abstractNumId w:val="6"/>
  </w:num>
  <w:num w:numId="11" w16cid:durableId="279260391">
    <w:abstractNumId w:val="1"/>
  </w:num>
  <w:num w:numId="12" w16cid:durableId="671302391">
    <w:abstractNumId w:val="4"/>
  </w:num>
  <w:num w:numId="13" w16cid:durableId="1189444234">
    <w:abstractNumId w:val="9"/>
  </w:num>
  <w:num w:numId="14" w16cid:durableId="1885218024">
    <w:abstractNumId w:val="11"/>
  </w:num>
  <w:num w:numId="15" w16cid:durableId="228007450">
    <w:abstractNumId w:val="14"/>
  </w:num>
  <w:num w:numId="16" w16cid:durableId="710963036">
    <w:abstractNumId w:val="13"/>
  </w:num>
  <w:num w:numId="17" w16cid:durableId="251667325">
    <w:abstractNumId w:val="10"/>
  </w:num>
  <w:num w:numId="18" w16cid:durableId="142037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1A1"/>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4799E"/>
    <w:rsid w:val="000557D8"/>
    <w:rsid w:val="00062BC6"/>
    <w:rsid w:val="00062C8E"/>
    <w:rsid w:val="00064547"/>
    <w:rsid w:val="0006654A"/>
    <w:rsid w:val="000667BB"/>
    <w:rsid w:val="000679B5"/>
    <w:rsid w:val="00067A27"/>
    <w:rsid w:val="00073211"/>
    <w:rsid w:val="000750E4"/>
    <w:rsid w:val="00077087"/>
    <w:rsid w:val="000830E8"/>
    <w:rsid w:val="0008778A"/>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E481C"/>
    <w:rsid w:val="000F1B6F"/>
    <w:rsid w:val="000F215E"/>
    <w:rsid w:val="000F52E1"/>
    <w:rsid w:val="000F599A"/>
    <w:rsid w:val="00100C0C"/>
    <w:rsid w:val="0010134F"/>
    <w:rsid w:val="00102066"/>
    <w:rsid w:val="00103EE3"/>
    <w:rsid w:val="001052E0"/>
    <w:rsid w:val="001069F8"/>
    <w:rsid w:val="001076E4"/>
    <w:rsid w:val="00112DF3"/>
    <w:rsid w:val="00114E74"/>
    <w:rsid w:val="00115190"/>
    <w:rsid w:val="001167D1"/>
    <w:rsid w:val="00116F3F"/>
    <w:rsid w:val="00116F84"/>
    <w:rsid w:val="00117904"/>
    <w:rsid w:val="00117C7F"/>
    <w:rsid w:val="00124760"/>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4AC6"/>
    <w:rsid w:val="00197009"/>
    <w:rsid w:val="001A297C"/>
    <w:rsid w:val="001A5B15"/>
    <w:rsid w:val="001A65EE"/>
    <w:rsid w:val="001C0A26"/>
    <w:rsid w:val="001C0A39"/>
    <w:rsid w:val="001C4B0F"/>
    <w:rsid w:val="001C5EB3"/>
    <w:rsid w:val="001D0887"/>
    <w:rsid w:val="001D0F2E"/>
    <w:rsid w:val="001D697E"/>
    <w:rsid w:val="001D776F"/>
    <w:rsid w:val="001F3730"/>
    <w:rsid w:val="001F6276"/>
    <w:rsid w:val="001F7E95"/>
    <w:rsid w:val="0020322F"/>
    <w:rsid w:val="00205B62"/>
    <w:rsid w:val="0020631B"/>
    <w:rsid w:val="00206375"/>
    <w:rsid w:val="0021005A"/>
    <w:rsid w:val="002118EB"/>
    <w:rsid w:val="00216BD0"/>
    <w:rsid w:val="00216FC6"/>
    <w:rsid w:val="002176DB"/>
    <w:rsid w:val="002259F0"/>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866BE"/>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2125"/>
    <w:rsid w:val="002F3999"/>
    <w:rsid w:val="002F6BF1"/>
    <w:rsid w:val="002F7140"/>
    <w:rsid w:val="0030067C"/>
    <w:rsid w:val="00302DB1"/>
    <w:rsid w:val="003035A6"/>
    <w:rsid w:val="00303C42"/>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60B"/>
    <w:rsid w:val="003B1684"/>
    <w:rsid w:val="003C492A"/>
    <w:rsid w:val="003C53D7"/>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2690"/>
    <w:rsid w:val="0043346C"/>
    <w:rsid w:val="00433F0D"/>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5E7F"/>
    <w:rsid w:val="004E72B8"/>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2AB"/>
    <w:rsid w:val="00581C8C"/>
    <w:rsid w:val="005837F9"/>
    <w:rsid w:val="00584007"/>
    <w:rsid w:val="00584B9D"/>
    <w:rsid w:val="00587179"/>
    <w:rsid w:val="005913CF"/>
    <w:rsid w:val="00591CEB"/>
    <w:rsid w:val="00592D83"/>
    <w:rsid w:val="00593AA7"/>
    <w:rsid w:val="00594B29"/>
    <w:rsid w:val="00597F78"/>
    <w:rsid w:val="005A1C80"/>
    <w:rsid w:val="005A6D06"/>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5F85"/>
    <w:rsid w:val="00626A28"/>
    <w:rsid w:val="006311E0"/>
    <w:rsid w:val="00632F11"/>
    <w:rsid w:val="00635ABF"/>
    <w:rsid w:val="00637F9A"/>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0EA"/>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0A49"/>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1444"/>
    <w:rsid w:val="007227F7"/>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1FD4"/>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340B"/>
    <w:rsid w:val="007F402B"/>
    <w:rsid w:val="007F4972"/>
    <w:rsid w:val="007F4CF1"/>
    <w:rsid w:val="007F770C"/>
    <w:rsid w:val="00800B39"/>
    <w:rsid w:val="008108DC"/>
    <w:rsid w:val="00814018"/>
    <w:rsid w:val="00814940"/>
    <w:rsid w:val="00816302"/>
    <w:rsid w:val="00817EDB"/>
    <w:rsid w:val="008208C5"/>
    <w:rsid w:val="00821292"/>
    <w:rsid w:val="00825029"/>
    <w:rsid w:val="00826567"/>
    <w:rsid w:val="00826C30"/>
    <w:rsid w:val="00827948"/>
    <w:rsid w:val="00834D0F"/>
    <w:rsid w:val="0084627F"/>
    <w:rsid w:val="0085354B"/>
    <w:rsid w:val="0085432F"/>
    <w:rsid w:val="00857E8E"/>
    <w:rsid w:val="008649EE"/>
    <w:rsid w:val="008659B0"/>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30C"/>
    <w:rsid w:val="008B59FF"/>
    <w:rsid w:val="008B72B2"/>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08F4"/>
    <w:rsid w:val="00931A39"/>
    <w:rsid w:val="0093254F"/>
    <w:rsid w:val="00933393"/>
    <w:rsid w:val="00933B86"/>
    <w:rsid w:val="00940128"/>
    <w:rsid w:val="00944105"/>
    <w:rsid w:val="00944A84"/>
    <w:rsid w:val="009527FF"/>
    <w:rsid w:val="009547D1"/>
    <w:rsid w:val="00962686"/>
    <w:rsid w:val="009633E0"/>
    <w:rsid w:val="00965F78"/>
    <w:rsid w:val="00967AD9"/>
    <w:rsid w:val="00972120"/>
    <w:rsid w:val="00972EBA"/>
    <w:rsid w:val="00974ACB"/>
    <w:rsid w:val="00976EEA"/>
    <w:rsid w:val="00980499"/>
    <w:rsid w:val="009838D1"/>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6C1D"/>
    <w:rsid w:val="00A5700C"/>
    <w:rsid w:val="00A57063"/>
    <w:rsid w:val="00A624FA"/>
    <w:rsid w:val="00A65AE5"/>
    <w:rsid w:val="00A70A5F"/>
    <w:rsid w:val="00A81731"/>
    <w:rsid w:val="00A82F57"/>
    <w:rsid w:val="00A832FD"/>
    <w:rsid w:val="00A873A1"/>
    <w:rsid w:val="00A9208D"/>
    <w:rsid w:val="00A93B09"/>
    <w:rsid w:val="00A962D0"/>
    <w:rsid w:val="00A976CC"/>
    <w:rsid w:val="00A97E72"/>
    <w:rsid w:val="00AA2EC0"/>
    <w:rsid w:val="00AA35BF"/>
    <w:rsid w:val="00AA4D33"/>
    <w:rsid w:val="00AB1B65"/>
    <w:rsid w:val="00AB384A"/>
    <w:rsid w:val="00AB5C73"/>
    <w:rsid w:val="00AB6134"/>
    <w:rsid w:val="00AB7342"/>
    <w:rsid w:val="00AC0C0A"/>
    <w:rsid w:val="00AC1795"/>
    <w:rsid w:val="00AC25D2"/>
    <w:rsid w:val="00AC279E"/>
    <w:rsid w:val="00AC4932"/>
    <w:rsid w:val="00AC6378"/>
    <w:rsid w:val="00AD3753"/>
    <w:rsid w:val="00AD7E8E"/>
    <w:rsid w:val="00AE0CC8"/>
    <w:rsid w:val="00AE447F"/>
    <w:rsid w:val="00AE5481"/>
    <w:rsid w:val="00AE5695"/>
    <w:rsid w:val="00AF13BD"/>
    <w:rsid w:val="00AF41E0"/>
    <w:rsid w:val="00AF4F8B"/>
    <w:rsid w:val="00AF50E0"/>
    <w:rsid w:val="00AF5371"/>
    <w:rsid w:val="00B0229E"/>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1626"/>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02CFF"/>
    <w:rsid w:val="00C10168"/>
    <w:rsid w:val="00C155DA"/>
    <w:rsid w:val="00C15C40"/>
    <w:rsid w:val="00C22349"/>
    <w:rsid w:val="00C22B04"/>
    <w:rsid w:val="00C26C3B"/>
    <w:rsid w:val="00C30243"/>
    <w:rsid w:val="00C41149"/>
    <w:rsid w:val="00C4131C"/>
    <w:rsid w:val="00C416F6"/>
    <w:rsid w:val="00C41892"/>
    <w:rsid w:val="00C4390B"/>
    <w:rsid w:val="00C4707B"/>
    <w:rsid w:val="00C51005"/>
    <w:rsid w:val="00C54CD4"/>
    <w:rsid w:val="00C5587A"/>
    <w:rsid w:val="00C5652E"/>
    <w:rsid w:val="00C62ACC"/>
    <w:rsid w:val="00C6632D"/>
    <w:rsid w:val="00C705CE"/>
    <w:rsid w:val="00C710E3"/>
    <w:rsid w:val="00C819FA"/>
    <w:rsid w:val="00C85B1A"/>
    <w:rsid w:val="00C877B9"/>
    <w:rsid w:val="00C915A2"/>
    <w:rsid w:val="00C956CF"/>
    <w:rsid w:val="00C963C9"/>
    <w:rsid w:val="00CA2C80"/>
    <w:rsid w:val="00CA59A1"/>
    <w:rsid w:val="00CB1E91"/>
    <w:rsid w:val="00CB725A"/>
    <w:rsid w:val="00CC49F4"/>
    <w:rsid w:val="00CC7E61"/>
    <w:rsid w:val="00CD2BC2"/>
    <w:rsid w:val="00CD5D15"/>
    <w:rsid w:val="00CD6F05"/>
    <w:rsid w:val="00CE04CF"/>
    <w:rsid w:val="00CE44BD"/>
    <w:rsid w:val="00CE68CF"/>
    <w:rsid w:val="00CE71C0"/>
    <w:rsid w:val="00CF25A9"/>
    <w:rsid w:val="00CF34DB"/>
    <w:rsid w:val="00CF5472"/>
    <w:rsid w:val="00D00FC4"/>
    <w:rsid w:val="00D04131"/>
    <w:rsid w:val="00D04A4C"/>
    <w:rsid w:val="00D0567D"/>
    <w:rsid w:val="00D06D68"/>
    <w:rsid w:val="00D1136F"/>
    <w:rsid w:val="00D16D90"/>
    <w:rsid w:val="00D24C4F"/>
    <w:rsid w:val="00D25BD8"/>
    <w:rsid w:val="00D26132"/>
    <w:rsid w:val="00D2759C"/>
    <w:rsid w:val="00D34986"/>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FCD"/>
    <w:rsid w:val="00D9165E"/>
    <w:rsid w:val="00DB137C"/>
    <w:rsid w:val="00DB1452"/>
    <w:rsid w:val="00DB74F9"/>
    <w:rsid w:val="00DC2C62"/>
    <w:rsid w:val="00DC443F"/>
    <w:rsid w:val="00DC6605"/>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06CC0"/>
    <w:rsid w:val="00E10E38"/>
    <w:rsid w:val="00E10ECE"/>
    <w:rsid w:val="00E11790"/>
    <w:rsid w:val="00E15015"/>
    <w:rsid w:val="00E153AC"/>
    <w:rsid w:val="00E1737D"/>
    <w:rsid w:val="00E17750"/>
    <w:rsid w:val="00E23A3C"/>
    <w:rsid w:val="00E24CD8"/>
    <w:rsid w:val="00E27430"/>
    <w:rsid w:val="00E34A01"/>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87F83"/>
    <w:rsid w:val="00E90C2A"/>
    <w:rsid w:val="00E90FEA"/>
    <w:rsid w:val="00E91128"/>
    <w:rsid w:val="00E95F59"/>
    <w:rsid w:val="00E96EF2"/>
    <w:rsid w:val="00EA3FC9"/>
    <w:rsid w:val="00EA448D"/>
    <w:rsid w:val="00EA7A96"/>
    <w:rsid w:val="00EA7E62"/>
    <w:rsid w:val="00EB2996"/>
    <w:rsid w:val="00EB31BC"/>
    <w:rsid w:val="00EB575F"/>
    <w:rsid w:val="00EB5975"/>
    <w:rsid w:val="00EC03A3"/>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0C5F"/>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Absatz-Standardschriftart"/>
    <w:uiPriority w:val="99"/>
    <w:semiHidden/>
    <w:unhideWhenUsed/>
    <w:rsid w:val="008B530C"/>
    <w:rPr>
      <w:color w:val="605E5C"/>
      <w:shd w:val="clear" w:color="auto" w:fill="E1DFDD"/>
    </w:rPr>
  </w:style>
  <w:style w:type="paragraph" w:customStyle="1" w:styleId="Default">
    <w:name w:val="Default"/>
    <w:rsid w:val="008B530C"/>
    <w:pPr>
      <w:autoSpaceDE w:val="0"/>
      <w:autoSpaceDN w:val="0"/>
      <w:adjustRightInd w:val="0"/>
    </w:pPr>
    <w:rPr>
      <w:rFonts w:ascii="Calibri" w:hAnsi="Calibri" w:cs="Calibri"/>
      <w:color w:val="000000"/>
    </w:rPr>
  </w:style>
  <w:style w:type="character" w:styleId="Kommentarzeichen">
    <w:name w:val="annotation reference"/>
    <w:basedOn w:val="Absatz-Standardschriftart"/>
    <w:uiPriority w:val="99"/>
    <w:semiHidden/>
    <w:unhideWhenUsed/>
    <w:rsid w:val="00C819FA"/>
    <w:rPr>
      <w:sz w:val="16"/>
      <w:szCs w:val="16"/>
    </w:rPr>
  </w:style>
  <w:style w:type="paragraph" w:styleId="Kommentartext">
    <w:name w:val="annotation text"/>
    <w:basedOn w:val="Standard"/>
    <w:link w:val="KommentartextZchn"/>
    <w:uiPriority w:val="99"/>
    <w:unhideWhenUsed/>
    <w:rsid w:val="00C819FA"/>
    <w:pPr>
      <w:spacing w:line="240" w:lineRule="auto"/>
    </w:pPr>
    <w:rPr>
      <w:sz w:val="20"/>
      <w:szCs w:val="20"/>
    </w:rPr>
  </w:style>
  <w:style w:type="character" w:customStyle="1" w:styleId="KommentartextZchn">
    <w:name w:val="Kommentartext Zchn"/>
    <w:basedOn w:val="Absatz-Standardschriftart"/>
    <w:link w:val="Kommentartext"/>
    <w:uiPriority w:val="99"/>
    <w:rsid w:val="00C819FA"/>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C819FA"/>
    <w:rPr>
      <w:b/>
      <w:bCs/>
    </w:rPr>
  </w:style>
  <w:style w:type="character" w:customStyle="1" w:styleId="KommentarthemaZchn">
    <w:name w:val="Kommentarthema Zchn"/>
    <w:basedOn w:val="KommentartextZchn"/>
    <w:link w:val="Kommentarthema"/>
    <w:uiPriority w:val="99"/>
    <w:semiHidden/>
    <w:rsid w:val="00C819FA"/>
    <w:rPr>
      <w:rFonts w:cs="Times New Roman (Textkörper CS)"/>
      <w:b/>
      <w:bCs/>
      <w:color w:val="000000"/>
      <w:sz w:val="20"/>
      <w:szCs w:val="20"/>
    </w:rPr>
  </w:style>
  <w:style w:type="character" w:customStyle="1" w:styleId="DisclaimerZchn">
    <w:name w:val="Disclaimer Zchn"/>
    <w:basedOn w:val="Absatz-Standardschriftart"/>
    <w:link w:val="Disclaimer"/>
    <w:locked/>
    <w:rsid w:val="00AC279E"/>
    <w:rPr>
      <w:rFonts w:ascii="Arial" w:hAnsi="Arial" w:cs="Arial"/>
      <w:color w:val="525F6B"/>
      <w:lang w:eastAsia="ja-JP"/>
    </w:rPr>
  </w:style>
  <w:style w:type="paragraph" w:customStyle="1" w:styleId="Disclaimer">
    <w:name w:val="Disclaimer"/>
    <w:basedOn w:val="Standard"/>
    <w:link w:val="DisclaimerZchn"/>
    <w:rsid w:val="00AC279E"/>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AC279E"/>
    <w:rPr>
      <w:rFonts w:ascii="Arial" w:hAnsi="Arial" w:cs="Arial"/>
      <w:color w:val="525F6B"/>
      <w:lang w:eastAsia="ja-JP"/>
    </w:rPr>
  </w:style>
  <w:style w:type="paragraph" w:customStyle="1" w:styleId="BeschreibungDivisions">
    <w:name w:val="Beschreibung Divisions"/>
    <w:basedOn w:val="Standard"/>
    <w:link w:val="BeschreibungDivisionsZchn"/>
    <w:rsid w:val="00AC279E"/>
    <w:pPr>
      <w:numPr>
        <w:numId w:val="18"/>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124760"/>
    <w:rPr>
      <w:color w:val="605E5C"/>
      <w:shd w:val="clear" w:color="auto" w:fill="E1DFDD"/>
    </w:rPr>
  </w:style>
  <w:style w:type="paragraph" w:styleId="berarbeitung">
    <w:name w:val="Revision"/>
    <w:hidden/>
    <w:uiPriority w:val="99"/>
    <w:semiHidden/>
    <w:rsid w:val="008B72B2"/>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571407">
      <w:bodyDiv w:val="1"/>
      <w:marLeft w:val="0"/>
      <w:marRight w:val="0"/>
      <w:marTop w:val="0"/>
      <w:marBottom w:val="0"/>
      <w:divBdr>
        <w:top w:val="none" w:sz="0" w:space="0" w:color="auto"/>
        <w:left w:val="none" w:sz="0" w:space="0" w:color="auto"/>
        <w:bottom w:val="none" w:sz="0" w:space="0" w:color="auto"/>
        <w:right w:val="none" w:sz="0" w:space="0" w:color="auto"/>
      </w:divBdr>
    </w:div>
    <w:div w:id="1123037846">
      <w:bodyDiv w:val="1"/>
      <w:marLeft w:val="0"/>
      <w:marRight w:val="0"/>
      <w:marTop w:val="0"/>
      <w:marBottom w:val="0"/>
      <w:divBdr>
        <w:top w:val="none" w:sz="0" w:space="0" w:color="auto"/>
        <w:left w:val="none" w:sz="0" w:space="0" w:color="auto"/>
        <w:bottom w:val="none" w:sz="0" w:space="0" w:color="auto"/>
        <w:right w:val="none" w:sz="0" w:space="0" w:color="auto"/>
      </w:divBdr>
      <w:divsChild>
        <w:div w:id="337076579">
          <w:marLeft w:val="0"/>
          <w:marRight w:val="0"/>
          <w:marTop w:val="0"/>
          <w:marBottom w:val="0"/>
          <w:divBdr>
            <w:top w:val="none" w:sz="0" w:space="0" w:color="auto"/>
            <w:left w:val="none" w:sz="0" w:space="0" w:color="auto"/>
            <w:bottom w:val="none" w:sz="0" w:space="0" w:color="auto"/>
            <w:right w:val="none" w:sz="0" w:space="0" w:color="auto"/>
          </w:divBdr>
        </w:div>
      </w:divsChild>
    </w:div>
    <w:div w:id="1404835566">
      <w:bodyDiv w:val="1"/>
      <w:marLeft w:val="0"/>
      <w:marRight w:val="0"/>
      <w:marTop w:val="0"/>
      <w:marBottom w:val="0"/>
      <w:divBdr>
        <w:top w:val="none" w:sz="0" w:space="0" w:color="auto"/>
        <w:left w:val="none" w:sz="0" w:space="0" w:color="auto"/>
        <w:bottom w:val="none" w:sz="0" w:space="0" w:color="auto"/>
        <w:right w:val="none" w:sz="0" w:space="0" w:color="auto"/>
      </w:divBdr>
    </w:div>
    <w:div w:id="2075733925">
      <w:bodyDiv w:val="1"/>
      <w:marLeft w:val="0"/>
      <w:marRight w:val="0"/>
      <w:marTop w:val="0"/>
      <w:marBottom w:val="0"/>
      <w:divBdr>
        <w:top w:val="none" w:sz="0" w:space="0" w:color="auto"/>
        <w:left w:val="none" w:sz="0" w:space="0" w:color="auto"/>
        <w:bottom w:val="none" w:sz="0" w:space="0" w:color="auto"/>
        <w:right w:val="none" w:sz="0" w:space="0" w:color="auto"/>
      </w:divBdr>
      <w:divsChild>
        <w:div w:id="780033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arina.lachnit@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wasakirobotics.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Vytvoří nový dokument" ma:contentTypeScope="" ma:versionID="87036503ece52f1c4901c0491fe36b0c">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d72f983897a5b9c134e08163999da4e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D4FD6-6FC0-4567-A379-35EDFA842F95}">
  <ds:schemaRefs>
    <ds:schemaRef ds:uri="http://schemas.openxmlformats.org/officeDocument/2006/bibliography"/>
  </ds:schemaRefs>
</ds:datastoreItem>
</file>

<file path=customXml/itemProps2.xml><?xml version="1.0" encoding="utf-8"?>
<ds:datastoreItem xmlns:ds="http://schemas.openxmlformats.org/officeDocument/2006/customXml" ds:itemID="{43A90FD8-3859-4E3A-BA2B-BCE4FA5A7591}">
  <ds:schemaRefs>
    <ds:schemaRef ds:uri="Microsoft.SharePoint.Taxonomy.ContentTypeSync"/>
  </ds:schemaRefs>
</ds:datastoreItem>
</file>

<file path=customXml/itemProps3.xml><?xml version="1.0" encoding="utf-8"?>
<ds:datastoreItem xmlns:ds="http://schemas.openxmlformats.org/officeDocument/2006/customXml" ds:itemID="{AD4AEA77-23E8-426E-93DB-731A6F6B73FA}">
  <ds:schemaRefs>
    <ds:schemaRef ds:uri="http://schemas.microsoft.com/sharepoint/v3/contenttype/forms"/>
  </ds:schemaRefs>
</ds:datastoreItem>
</file>

<file path=customXml/itemProps4.xml><?xml version="1.0" encoding="utf-8"?>
<ds:datastoreItem xmlns:ds="http://schemas.openxmlformats.org/officeDocument/2006/customXml" ds:itemID="{0DA1902A-2B0A-443D-91A2-9C3B33E44BDB}">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C590937C-0E4E-4099-8D66-123F2E2C8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4227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15</cp:revision>
  <cp:lastPrinted>2019-05-29T11:27:00Z</cp:lastPrinted>
  <dcterms:created xsi:type="dcterms:W3CDTF">2023-09-18T09:59:00Z</dcterms:created>
  <dcterms:modified xsi:type="dcterms:W3CDTF">2023-10-09T08:41:00Z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ClassificationContentMarkingFooterShapeIds">
    <vt:lpwstr>1,2,7</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2023-07-31T11:29:20Z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a23aeab0-4fab-4d13-990e-28fac1935ecb</vt:lpwstr>
  </property>
  <property fmtid="{D5CDD505-2E9C-101B-9397-08002B2CF9AE}" pid="13" name="MSIP_Label_bf6de623-ba0c-4b2b-a216-a4bd6e5a0b3a_ContentBits">
    <vt:lpwstr>2</vt:lpwstr>
  </property>
  <property fmtid="{D5CDD505-2E9C-101B-9397-08002B2CF9AE}" pid="14" name="MediaServiceImageTags">
    <vt:lpwstr/>
  </property>
</Properties>
</file>