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2CA43" w14:textId="77777777" w:rsidR="00FC4489" w:rsidRPr="0039780E" w:rsidRDefault="00FC4489" w:rsidP="00FC4489">
      <w:pPr>
        <w:pStyle w:val="Titel-Headline"/>
      </w:pPr>
      <w:bookmarkStart w:id="0" w:name="Untertitel"/>
      <w:r>
        <w:t>Nota de prensa</w:t>
      </w:r>
    </w:p>
    <w:p w14:paraId="24A62B5B" w14:textId="77777777" w:rsidR="00FC4489" w:rsidRPr="0039780E" w:rsidRDefault="00FC4489" w:rsidP="00FC4489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639C080D" wp14:editId="73EDB934">
                <wp:extent cx="4932000" cy="0"/>
                <wp:effectExtent l="0" t="0" r="8890" b="12700"/>
                <wp:docPr id="1714943241" name="Gerader Verbinder 1714943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D550B" id="Gerader Verbinder 171494324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" strokeweight=".5pt">
                <v:stroke joinstyle="miter"/>
                <w10:anchorlock/>
              </v:line>
            </w:pict>
          </mc:Fallback>
        </mc:AlternateContent>
      </w:r>
    </w:p>
    <w:p w14:paraId="15DA12AF" w14:textId="4F5431B2" w:rsidR="00FC4489" w:rsidRPr="00C1482D" w:rsidRDefault="00FC4489" w:rsidP="44B2D648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Proceso de pretratamiento flexible, compacto y escalable para </w:t>
      </w:r>
      <w:r w:rsidR="00957F08">
        <w:rPr>
          <w:color w:val="auto"/>
          <w:sz w:val="20"/>
        </w:rPr>
        <w:t xml:space="preserve">el taller </w:t>
      </w:r>
      <w:r>
        <w:rPr>
          <w:color w:val="auto"/>
          <w:sz w:val="20"/>
        </w:rPr>
        <w:t xml:space="preserve">de pintura </w:t>
      </w:r>
    </w:p>
    <w:p w14:paraId="6A0B8822" w14:textId="6C035D2B" w:rsidR="00FC4489" w:rsidRDefault="00FC4489" w:rsidP="00FC4489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 xml:space="preserve">Dürr </w:t>
      </w:r>
      <w:r w:rsidR="00957F08">
        <w:rPr>
          <w:b/>
          <w:color w:val="00468E" w:themeColor="accent1"/>
          <w:sz w:val="34"/>
        </w:rPr>
        <w:t xml:space="preserve">amplía </w:t>
      </w:r>
      <w:r>
        <w:rPr>
          <w:b/>
          <w:color w:val="00468E" w:themeColor="accent1"/>
          <w:sz w:val="34"/>
        </w:rPr>
        <w:t xml:space="preserve">el sistema de pretratamiento EcoProWet para incluir la cataforesis </w:t>
      </w:r>
    </w:p>
    <w:p w14:paraId="577261E8" w14:textId="77777777" w:rsidR="00FC4489" w:rsidRPr="00AB1841" w:rsidRDefault="00FC4489" w:rsidP="00FC4489">
      <w:pPr>
        <w:pStyle w:val="Flietext"/>
        <w:rPr>
          <w:b/>
          <w:color w:val="00468E" w:themeColor="accent1"/>
          <w:sz w:val="34"/>
          <w:szCs w:val="30"/>
          <w:lang w:val="es-ES"/>
        </w:rPr>
      </w:pPr>
    </w:p>
    <w:p w14:paraId="09172517" w14:textId="4F239435" w:rsidR="00FC4489" w:rsidRDefault="00457F98" w:rsidP="00FC4489">
      <w:pPr>
        <w:pStyle w:val="Flietext"/>
        <w:rPr>
          <w:b/>
        </w:rPr>
      </w:pPr>
      <w:r w:rsidRPr="001231AC">
        <w:rPr>
          <w:rStyle w:val="Fettung"/>
          <w:szCs w:val="22"/>
        </w:rPr>
        <w:t>San Sebastián</w:t>
      </w:r>
      <w:r w:rsidRPr="001231AC">
        <w:rPr>
          <w:rStyle w:val="normaltextrun"/>
          <w:b/>
          <w:bCs/>
          <w:szCs w:val="22"/>
          <w:shd w:val="clear" w:color="auto" w:fill="FFFFFF"/>
        </w:rPr>
        <w:t xml:space="preserve">, </w:t>
      </w:r>
      <w:r w:rsidR="0030264E">
        <w:rPr>
          <w:rStyle w:val="Fettung"/>
          <w:szCs w:val="22"/>
        </w:rPr>
        <w:t>Madrid, 8 de mayo</w:t>
      </w:r>
      <w:r w:rsidRPr="001231AC">
        <w:rPr>
          <w:rStyle w:val="Fettung"/>
          <w:szCs w:val="22"/>
        </w:rPr>
        <w:t xml:space="preserve"> de 2025 – </w:t>
      </w:r>
      <w:r w:rsidR="00FB0B7D">
        <w:rPr>
          <w:b/>
        </w:rPr>
        <w:t xml:space="preserve">Dürr </w:t>
      </w:r>
      <w:r w:rsidR="00D27AD2">
        <w:rPr>
          <w:b/>
        </w:rPr>
        <w:t>amplía</w:t>
      </w:r>
      <w:r w:rsidR="0040719C">
        <w:rPr>
          <w:b/>
        </w:rPr>
        <w:t xml:space="preserve"> </w:t>
      </w:r>
      <w:r w:rsidR="00FB0B7D">
        <w:rPr>
          <w:b/>
        </w:rPr>
        <w:t xml:space="preserve">su sistema </w:t>
      </w:r>
      <w:r w:rsidR="0040719C">
        <w:rPr>
          <w:b/>
        </w:rPr>
        <w:t xml:space="preserve">modular </w:t>
      </w:r>
      <w:r w:rsidR="00FB0B7D">
        <w:rPr>
          <w:b/>
        </w:rPr>
        <w:t>de pretratamiento</w:t>
      </w:r>
      <w:r w:rsidR="005613BB">
        <w:rPr>
          <w:b/>
        </w:rPr>
        <w:t xml:space="preserve"> con el</w:t>
      </w:r>
      <w:r w:rsidR="00FB0B7D">
        <w:rPr>
          <w:b/>
        </w:rPr>
        <w:t xml:space="preserve"> EcoProWet EC</w:t>
      </w:r>
      <w:r w:rsidR="005613BB">
        <w:rPr>
          <w:b/>
        </w:rPr>
        <w:t>, que incluye</w:t>
      </w:r>
      <w:r w:rsidR="00D27AD2">
        <w:rPr>
          <w:b/>
        </w:rPr>
        <w:t xml:space="preserve"> </w:t>
      </w:r>
      <w:r w:rsidR="00FB0B7D">
        <w:rPr>
          <w:b/>
        </w:rPr>
        <w:t xml:space="preserve">la cataforesis. Con su diseño compacto, el sistema húmedo necesita mucho menos espacio que </w:t>
      </w:r>
      <w:r w:rsidR="005613BB">
        <w:rPr>
          <w:b/>
        </w:rPr>
        <w:t>las instalaciones</w:t>
      </w:r>
      <w:r w:rsidR="00FB0B7D">
        <w:rPr>
          <w:b/>
        </w:rPr>
        <w:t xml:space="preserve"> continu</w:t>
      </w:r>
      <w:r w:rsidR="005613BB">
        <w:rPr>
          <w:b/>
        </w:rPr>
        <w:t>a</w:t>
      </w:r>
      <w:r w:rsidR="00FB0B7D">
        <w:rPr>
          <w:b/>
        </w:rPr>
        <w:t>s convencionales,</w:t>
      </w:r>
      <w:r w:rsidR="005613BB">
        <w:rPr>
          <w:b/>
        </w:rPr>
        <w:t xml:space="preserve"> y por tanto </w:t>
      </w:r>
      <w:r w:rsidR="004B36EB">
        <w:rPr>
          <w:b/>
        </w:rPr>
        <w:t>es</w:t>
      </w:r>
      <w:r w:rsidR="00FB0B7D">
        <w:rPr>
          <w:b/>
        </w:rPr>
        <w:t xml:space="preserve"> ideal para capacidades de producción pequeñas </w:t>
      </w:r>
      <w:r w:rsidR="004B36EB">
        <w:rPr>
          <w:b/>
        </w:rPr>
        <w:t xml:space="preserve">y </w:t>
      </w:r>
      <w:r w:rsidR="00FB0B7D">
        <w:rPr>
          <w:b/>
        </w:rPr>
        <w:t xml:space="preserve">medianas de hasta 30 unidades por hora. </w:t>
      </w:r>
    </w:p>
    <w:p w14:paraId="7539680B" w14:textId="77777777" w:rsidR="00B1483F" w:rsidRPr="00AB1841" w:rsidRDefault="00B1483F" w:rsidP="00FC4489">
      <w:pPr>
        <w:pStyle w:val="Flietext"/>
        <w:rPr>
          <w:lang w:val="es-ES"/>
        </w:rPr>
      </w:pPr>
    </w:p>
    <w:p w14:paraId="57F68B71" w14:textId="041E68AA" w:rsidR="00FC4489" w:rsidRDefault="000114BE" w:rsidP="00FC4489">
      <w:pPr>
        <w:pStyle w:val="Flietext"/>
      </w:pPr>
      <w:r>
        <w:t>En el pintado</w:t>
      </w:r>
      <w:r w:rsidR="00FC4489">
        <w:t xml:space="preserve"> de vehículos, el pretratamiento sigue siendo </w:t>
      </w:r>
      <w:r w:rsidR="005613BB">
        <w:t>una</w:t>
      </w:r>
      <w:r w:rsidR="00FC4489">
        <w:t xml:space="preserve"> de </w:t>
      </w:r>
      <w:r w:rsidR="002E5C8A">
        <w:t>las fases</w:t>
      </w:r>
      <w:r w:rsidR="00FC4489">
        <w:t xml:space="preserve"> del proceso que requiere más espacio</w:t>
      </w:r>
      <w:r w:rsidR="0087226A">
        <w:t xml:space="preserve"> debido </w:t>
      </w:r>
      <w:r w:rsidR="00FC4489">
        <w:t xml:space="preserve">a los grandes depósitos necesarios tanto para la limpieza básica como para la cataforesis, que están diseñados para </w:t>
      </w:r>
      <w:r w:rsidR="00995463">
        <w:t xml:space="preserve">adaptarse a las dimensiones de las carrocerías </w:t>
      </w:r>
      <w:r w:rsidR="0087226A">
        <w:t xml:space="preserve">más grandes </w:t>
      </w:r>
      <w:r w:rsidR="00995463">
        <w:t>y a los tiempos de proceso más largos</w:t>
      </w:r>
      <w:r w:rsidR="00FC4489">
        <w:t xml:space="preserve">. Dürr </w:t>
      </w:r>
      <w:r w:rsidR="00E11C55">
        <w:t xml:space="preserve">ha desarrollado </w:t>
      </w:r>
      <w:r w:rsidR="00FC4489">
        <w:t xml:space="preserve">el </w:t>
      </w:r>
      <w:r w:rsidR="0087226A">
        <w:t xml:space="preserve">nuevo </w:t>
      </w:r>
      <w:r w:rsidR="00FC4489">
        <w:t xml:space="preserve">sistema de pretratamiento modular </w:t>
      </w:r>
      <w:r w:rsidR="00FC4489" w:rsidRPr="00EB3A46">
        <w:rPr>
          <w:b/>
          <w:bCs/>
        </w:rPr>
        <w:t>Eco</w:t>
      </w:r>
      <w:r w:rsidR="00FC4489">
        <w:t>ProWet</w:t>
      </w:r>
      <w:r w:rsidR="0087226A">
        <w:t>, haciendo así</w:t>
      </w:r>
      <w:r w:rsidR="00FC4489">
        <w:t xml:space="preserve"> el proceso más flexible, compacto y escalable. Previamente, la empresa había </w:t>
      </w:r>
      <w:r w:rsidR="0087226A">
        <w:t xml:space="preserve">presentado </w:t>
      </w:r>
      <w:r w:rsidR="00FC4489">
        <w:t xml:space="preserve">el sistema de pretratamiento </w:t>
      </w:r>
      <w:r w:rsidR="00FC4489">
        <w:rPr>
          <w:b/>
        </w:rPr>
        <w:t>Eco</w:t>
      </w:r>
      <w:r w:rsidR="00FC4489">
        <w:t>ProWet PT. Ahora</w:t>
      </w:r>
      <w:r w:rsidR="00D27AD2">
        <w:t xml:space="preserve">, </w:t>
      </w:r>
      <w:r w:rsidR="0087226A">
        <w:t xml:space="preserve">con </w:t>
      </w:r>
      <w:r w:rsidR="0087226A">
        <w:rPr>
          <w:b/>
        </w:rPr>
        <w:t>Eco</w:t>
      </w:r>
      <w:r w:rsidR="0087226A">
        <w:t>ProWet EC,</w:t>
      </w:r>
      <w:r w:rsidR="00FC4489">
        <w:t xml:space="preserve"> </w:t>
      </w:r>
      <w:r w:rsidR="00FD54EA">
        <w:t xml:space="preserve">ha ampliado </w:t>
      </w:r>
      <w:r w:rsidR="00FC4489">
        <w:t xml:space="preserve">el sistema </w:t>
      </w:r>
      <w:r w:rsidR="0087226A">
        <w:t xml:space="preserve">completo </w:t>
      </w:r>
      <w:r w:rsidR="00FC4489">
        <w:t xml:space="preserve">para incluir </w:t>
      </w:r>
      <w:r w:rsidR="0087226A">
        <w:t>la</w:t>
      </w:r>
      <w:r w:rsidR="00FC4489">
        <w:t xml:space="preserve"> cataforesis</w:t>
      </w:r>
      <w:r w:rsidR="0087226A">
        <w:t xml:space="preserve"> (EC)</w:t>
      </w:r>
      <w:r w:rsidR="00FC4489">
        <w:t>.</w:t>
      </w:r>
    </w:p>
    <w:p w14:paraId="798F16E0" w14:textId="77777777" w:rsidR="00B1483F" w:rsidRDefault="00B1483F" w:rsidP="00FC4489">
      <w:pPr>
        <w:pStyle w:val="Flietext"/>
      </w:pPr>
    </w:p>
    <w:p w14:paraId="2BE85BBC" w14:textId="744DEDBC" w:rsidR="00FC4489" w:rsidRPr="00C56601" w:rsidRDefault="00FC4489" w:rsidP="24213E9C">
      <w:pPr>
        <w:pStyle w:val="Flietext"/>
        <w:rPr>
          <w:b/>
          <w:bCs/>
          <w:spacing w:val="-2"/>
          <w:w w:val="101"/>
        </w:rPr>
      </w:pPr>
      <w:r>
        <w:rPr>
          <w:b/>
        </w:rPr>
        <w:t xml:space="preserve">Cataforesis: flexible, compacto y escalable </w:t>
      </w:r>
    </w:p>
    <w:p w14:paraId="74F54581" w14:textId="54E957BA" w:rsidR="00FC4489" w:rsidRDefault="00FC4489" w:rsidP="00FC4489">
      <w:r>
        <w:t xml:space="preserve">Tras el pretratamiento, las carrocerías </w:t>
      </w:r>
      <w:r w:rsidR="00D27AD2">
        <w:t>son transportadas</w:t>
      </w:r>
      <w:r w:rsidR="00D94578">
        <w:t xml:space="preserve"> </w:t>
      </w:r>
      <w:r>
        <w:t xml:space="preserve">al sistema de cataforesis. </w:t>
      </w:r>
      <w:r w:rsidR="0087226A">
        <w:t>Durante e</w:t>
      </w:r>
      <w:r>
        <w:t>ste proceso</w:t>
      </w:r>
      <w:r w:rsidR="00D27AD2">
        <w:t>,</w:t>
      </w:r>
      <w:r w:rsidR="0087226A">
        <w:t xml:space="preserve"> se aplica a la carrocería una capa base</w:t>
      </w:r>
      <w:r>
        <w:t xml:space="preserve"> sin fisuras </w:t>
      </w:r>
      <w:r w:rsidR="0087226A">
        <w:t xml:space="preserve">que sirve como protección anticorrosiva y también como </w:t>
      </w:r>
      <w:r>
        <w:t xml:space="preserve">base adhesiva </w:t>
      </w:r>
      <w:r>
        <w:lastRenderedPageBreak/>
        <w:t xml:space="preserve">para </w:t>
      </w:r>
      <w:r w:rsidR="0087226A">
        <w:t xml:space="preserve">futuras </w:t>
      </w:r>
      <w:r>
        <w:t>capas de acabado. A diferencia de los sistemas de pretratamiento/</w:t>
      </w:r>
      <w:r w:rsidR="00A6304F">
        <w:t>cataforesis</w:t>
      </w:r>
      <w:r>
        <w:t xml:space="preserve"> (PT/E</w:t>
      </w:r>
      <w:r w:rsidR="00A6304F">
        <w:t>C</w:t>
      </w:r>
      <w:r>
        <w:t xml:space="preserve">) convencionales, </w:t>
      </w:r>
      <w:r>
        <w:rPr>
          <w:b/>
        </w:rPr>
        <w:t>Eco</w:t>
      </w:r>
      <w:r>
        <w:t xml:space="preserve">ProWet </w:t>
      </w:r>
      <w:r w:rsidR="00A6304F">
        <w:t xml:space="preserve">destaca como </w:t>
      </w:r>
      <w:r>
        <w:t xml:space="preserve">el único sistema </w:t>
      </w:r>
      <w:r w:rsidR="00A6304F">
        <w:t xml:space="preserve">escalable </w:t>
      </w:r>
      <w:r>
        <w:t xml:space="preserve">del mercado y establece nuevos estándares </w:t>
      </w:r>
      <w:r w:rsidR="00A6304F">
        <w:t xml:space="preserve">lo que respecta </w:t>
      </w:r>
      <w:r>
        <w:t>espacio, sostenibilidad y cost</w:t>
      </w:r>
      <w:r w:rsidR="00FC4DA2">
        <w:t>e</w:t>
      </w:r>
      <w:r>
        <w:t xml:space="preserve">s de inversión. </w:t>
      </w:r>
    </w:p>
    <w:p w14:paraId="7663DC26" w14:textId="77777777" w:rsidR="00B1483F" w:rsidRPr="00D94578" w:rsidRDefault="00B1483F" w:rsidP="00FC4489">
      <w:pPr>
        <w:rPr>
          <w:lang w:val="es-ES"/>
        </w:rPr>
      </w:pPr>
    </w:p>
    <w:p w14:paraId="21CBBBB9" w14:textId="45F6953E" w:rsidR="00FC4489" w:rsidRDefault="00FC4489" w:rsidP="00FC4489">
      <w:r>
        <w:t xml:space="preserve">El </w:t>
      </w:r>
      <w:r w:rsidR="00A5740D">
        <w:t xml:space="preserve">innovador </w:t>
      </w:r>
      <w:r>
        <w:t xml:space="preserve">diseño del sistema </w:t>
      </w:r>
      <w:r>
        <w:rPr>
          <w:b/>
        </w:rPr>
        <w:t>Eco</w:t>
      </w:r>
      <w:r>
        <w:t xml:space="preserve">ProWet EC presenta depósitos compactos individuales en lugar de sistemas continuos llenos de pintura. Dos torres pendulares controlables </w:t>
      </w:r>
      <w:r w:rsidR="00E34C6C">
        <w:t xml:space="preserve">de forma independiente </w:t>
      </w:r>
      <w:r>
        <w:t xml:space="preserve">levantan las carrocerías desde </w:t>
      </w:r>
      <w:r w:rsidR="007C2A64">
        <w:t>el transportador</w:t>
      </w:r>
      <w:r>
        <w:t xml:space="preserve"> de rodillos y las </w:t>
      </w:r>
      <w:r w:rsidR="007C2A64">
        <w:t>sumergen</w:t>
      </w:r>
      <w:r>
        <w:t xml:space="preserve"> suavemente </w:t>
      </w:r>
      <w:r w:rsidR="007C2A64">
        <w:t xml:space="preserve">en </w:t>
      </w:r>
      <w:r>
        <w:t xml:space="preserve">el </w:t>
      </w:r>
      <w:r w:rsidR="007C2A64">
        <w:t>depósito</w:t>
      </w:r>
      <w:r>
        <w:t xml:space="preserve">. Con un ángulo de inmersión de hasta 60 grados, los fabricantes de automóviles pueden personalizar el proceso de inmersión para diferentes modelos. Cada depósito de inmersión </w:t>
      </w:r>
      <w:r w:rsidR="00CF5FAF">
        <w:t xml:space="preserve">admite </w:t>
      </w:r>
      <w:r>
        <w:t xml:space="preserve">hasta diez unidades por hora. Durante la inmersión de tres a cinco minutos, la pintura </w:t>
      </w:r>
      <w:r w:rsidR="001462F2">
        <w:t xml:space="preserve">se carga positivamente con </w:t>
      </w:r>
      <w:r w:rsidR="001462F2" w:rsidRPr="001462F2">
        <w:t>partículas</w:t>
      </w:r>
      <w:r w:rsidR="001462F2">
        <w:t xml:space="preserve"> que</w:t>
      </w:r>
      <w:r w:rsidR="001462F2" w:rsidRPr="001462F2">
        <w:t xml:space="preserve"> son atraídas por la carrocería (</w:t>
      </w:r>
      <w:r w:rsidR="001462F2">
        <w:t>negativo</w:t>
      </w:r>
      <w:r w:rsidR="001462F2" w:rsidRPr="001462F2">
        <w:t>)</w:t>
      </w:r>
      <w:r w:rsidR="001462F2">
        <w:t>,</w:t>
      </w:r>
      <w:r w:rsidR="001462F2" w:rsidRPr="001462F2">
        <w:t> donde se depositan </w:t>
      </w:r>
      <w:r>
        <w:t xml:space="preserve">formando una capa fina y uniforme sobre </w:t>
      </w:r>
      <w:r w:rsidR="001462F2">
        <w:t>su</w:t>
      </w:r>
      <w:r>
        <w:t xml:space="preserve"> superficie. </w:t>
      </w:r>
    </w:p>
    <w:p w14:paraId="1B70A5F7" w14:textId="77777777" w:rsidR="00B1483F" w:rsidRPr="00AB1841" w:rsidRDefault="00B1483F" w:rsidP="00FC4489">
      <w:pPr>
        <w:rPr>
          <w:lang w:val="es-ES"/>
        </w:rPr>
      </w:pPr>
    </w:p>
    <w:p w14:paraId="0F558A8A" w14:textId="3BAEF96A" w:rsidR="000663A1" w:rsidRDefault="00FC4489" w:rsidP="00FC4489">
      <w:pPr>
        <w:pStyle w:val="Flietext"/>
      </w:pPr>
      <w:r>
        <w:t xml:space="preserve">El sistema </w:t>
      </w:r>
      <w:r>
        <w:rPr>
          <w:b/>
        </w:rPr>
        <w:t>Eco</w:t>
      </w:r>
      <w:r>
        <w:t xml:space="preserve">ProWet es ideal para capacidades de producción pequeñas y medianas. </w:t>
      </w:r>
      <w:r w:rsidR="00807CBE">
        <w:t>Gracias a s</w:t>
      </w:r>
      <w:r>
        <w:t xml:space="preserve">u diseño modular </w:t>
      </w:r>
      <w:r w:rsidR="00807CBE">
        <w:t>se puede ampliar la capacidad de forma</w:t>
      </w:r>
      <w:r w:rsidR="00F3311E">
        <w:t xml:space="preserve"> escalonada</w:t>
      </w:r>
      <w:r>
        <w:t xml:space="preserve"> de 7,5 a 30 unidades por hora sin interrupciones operativas significativas</w:t>
      </w:r>
      <w:r w:rsidR="00807CBE">
        <w:t>, permitiendo así</w:t>
      </w:r>
      <w:r w:rsidR="00D27AD2">
        <w:t xml:space="preserve"> </w:t>
      </w:r>
      <w:r>
        <w:t xml:space="preserve">a los fabricantes de automóviles </w:t>
      </w:r>
      <w:r w:rsidR="00807CBE">
        <w:t>aprovechar</w:t>
      </w:r>
      <w:r>
        <w:t xml:space="preserve"> el sistema </w:t>
      </w:r>
      <w:r w:rsidR="003F3086">
        <w:t xml:space="preserve">en función de </w:t>
      </w:r>
      <w:r>
        <w:t>sus necesidades de producción, reduciendo los cost</w:t>
      </w:r>
      <w:r w:rsidR="003F3086">
        <w:t>e</w:t>
      </w:r>
      <w:r>
        <w:t xml:space="preserve">s de pintura y de </w:t>
      </w:r>
      <w:r w:rsidR="00807CBE">
        <w:t xml:space="preserve">operaciones comparado con </w:t>
      </w:r>
      <w:r>
        <w:t xml:space="preserve">los sistemas continuos. Además, minimiza el espacio necesario para una planta de pintura, a la vez que permite un diseño flexible. </w:t>
      </w:r>
    </w:p>
    <w:p w14:paraId="32238078" w14:textId="77777777" w:rsidR="00DC0A6C" w:rsidRPr="00AB1841" w:rsidRDefault="00DC0A6C" w:rsidP="00FC4489">
      <w:pPr>
        <w:pStyle w:val="Flietext"/>
        <w:rPr>
          <w:lang w:val="es-ES"/>
        </w:rPr>
      </w:pPr>
    </w:p>
    <w:p w14:paraId="3968AB42" w14:textId="51E69BB7" w:rsidR="00FC4489" w:rsidRDefault="00B66048" w:rsidP="00FC4489">
      <w:pPr>
        <w:pStyle w:val="Flietext"/>
        <w:rPr>
          <w:spacing w:val="-2"/>
          <w:w w:val="101"/>
          <w:sz w:val="17"/>
        </w:rPr>
      </w:pPr>
      <w:r w:rsidRPr="003144DB">
        <w:rPr>
          <w:noProof/>
          <w:lang w:eastAsia="de-DE"/>
        </w:rPr>
        <w:lastRenderedPageBreak/>
        <w:drawing>
          <wp:inline distT="0" distB="0" distL="0" distR="0" wp14:anchorId="16F0994B" wp14:editId="28600722">
            <wp:extent cx="4928235" cy="2772410"/>
            <wp:effectExtent l="0" t="0" r="5715" b="8890"/>
            <wp:docPr id="882974661" name="Grafik 8" descr="Ein Bild, das Wasser, Boot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974661" name="Grafik 8" descr="Ein Bild, das Wasser, Boot, drauß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Imagen 1</w:t>
      </w:r>
      <w:r w:rsidR="00FC4489">
        <w:rPr>
          <w:sz w:val="17"/>
        </w:rPr>
        <w:t xml:space="preserve">: </w:t>
      </w:r>
      <w:r w:rsidR="00FC4489">
        <w:rPr>
          <w:b/>
          <w:sz w:val="17"/>
        </w:rPr>
        <w:t>Eco</w:t>
      </w:r>
      <w:r w:rsidR="00FC4489">
        <w:rPr>
          <w:sz w:val="17"/>
        </w:rPr>
        <w:t xml:space="preserve">ProWet EC tiene un diseño de sistema innovador. </w:t>
      </w:r>
    </w:p>
    <w:p w14:paraId="7F7EE3C8" w14:textId="77777777" w:rsidR="00FC4489" w:rsidRPr="00836314" w:rsidRDefault="00FC4489" w:rsidP="00FC4489">
      <w:pPr>
        <w:pStyle w:val="Flietext"/>
        <w:rPr>
          <w:spacing w:val="-2"/>
          <w:w w:val="101"/>
          <w:sz w:val="17"/>
          <w:lang w:val="es-ES"/>
        </w:rPr>
      </w:pPr>
    </w:p>
    <w:p w14:paraId="7DF9B1E0" w14:textId="42A3206A" w:rsidR="00FC4489" w:rsidRPr="00326181" w:rsidRDefault="00542E94" w:rsidP="00FC4489">
      <w:pPr>
        <w:pStyle w:val="Flietext"/>
        <w:rPr>
          <w:spacing w:val="-2"/>
          <w:w w:val="101"/>
          <w:sz w:val="17"/>
        </w:rPr>
      </w:pPr>
      <w:r w:rsidRPr="00723601">
        <w:rPr>
          <w:noProof/>
          <w:lang w:eastAsia="de-DE"/>
        </w:rPr>
        <w:drawing>
          <wp:inline distT="0" distB="0" distL="0" distR="0" wp14:anchorId="20EB2F33" wp14:editId="403456EE">
            <wp:extent cx="4928235" cy="2772410"/>
            <wp:effectExtent l="0" t="0" r="5715" b="8890"/>
            <wp:docPr id="1988869947" name="Grafik 10" descr="Ein Bild, das Gebäude, Bautechnik, Im Haus, Blau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69947" name="Grafik 10" descr="Ein Bild, das Gebäude, Bautechnik, Im Haus, Blau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Imagen 2:</w:t>
      </w:r>
      <w:r w:rsidR="00FC4489">
        <w:rPr>
          <w:sz w:val="17"/>
        </w:rPr>
        <w:t xml:space="preserve"> El sistema </w:t>
      </w:r>
      <w:r w:rsidR="00FC4489">
        <w:rPr>
          <w:b/>
          <w:sz w:val="17"/>
        </w:rPr>
        <w:t>Eco</w:t>
      </w:r>
      <w:r w:rsidR="00FC4489">
        <w:rPr>
          <w:sz w:val="17"/>
        </w:rPr>
        <w:t>ProWet PT/E</w:t>
      </w:r>
      <w:r w:rsidR="001462F2">
        <w:rPr>
          <w:sz w:val="17"/>
        </w:rPr>
        <w:t>C</w:t>
      </w:r>
      <w:r w:rsidR="00FC4489">
        <w:rPr>
          <w:sz w:val="17"/>
        </w:rPr>
        <w:t xml:space="preserve"> se caracteriza por su escalabilidad. </w:t>
      </w:r>
    </w:p>
    <w:p w14:paraId="6F29D668" w14:textId="5A86DE80" w:rsidR="00FC4489" w:rsidRPr="00AB1841" w:rsidRDefault="00FC4489" w:rsidP="00FC4489">
      <w:pPr>
        <w:pStyle w:val="Flietext"/>
        <w:rPr>
          <w:lang w:val="es-ES"/>
        </w:rPr>
      </w:pPr>
    </w:p>
    <w:p w14:paraId="331353AF" w14:textId="77777777" w:rsidR="00FC4489" w:rsidRPr="00AB1841" w:rsidRDefault="00FC4489" w:rsidP="00FC4489">
      <w:pPr>
        <w:pStyle w:val="Flietext"/>
        <w:rPr>
          <w:rFonts w:ascii="Arial" w:hAnsi="Arial" w:cs="Arial"/>
          <w:bCs/>
          <w:iCs/>
          <w:sz w:val="17"/>
          <w:szCs w:val="17"/>
          <w:lang w:val="es-ES"/>
        </w:rPr>
      </w:pPr>
    </w:p>
    <w:p w14:paraId="0C7C3A0E" w14:textId="77777777" w:rsidR="008D228C" w:rsidRPr="0065736C" w:rsidRDefault="008D228C" w:rsidP="008D228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t>Acerca de Grupo Dürr </w:t>
      </w:r>
    </w:p>
    <w:p w14:paraId="14CBDF04" w14:textId="77777777" w:rsidR="008D228C" w:rsidRPr="0065736C" w:rsidRDefault="008D228C" w:rsidP="008D228C">
      <w:pPr>
        <w:spacing w:line="240" w:lineRule="auto"/>
        <w:rPr>
          <w:rFonts w:ascii="Arial" w:hAnsi="Arial" w:cs="Arial"/>
          <w:iCs/>
          <w:sz w:val="18"/>
          <w:szCs w:val="18"/>
        </w:rPr>
      </w:pPr>
      <w:r w:rsidRPr="0065736C">
        <w:rPr>
          <w:rFonts w:ascii="Arial" w:hAnsi="Arial" w:cs="Arial"/>
          <w:iCs/>
          <w:sz w:val="18"/>
          <w:szCs w:val="18"/>
        </w:rPr>
        <w:t xml:space="preserve"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ofrece gran parte de los servicios del Grupo. Aunque sus actividades se centran en las </w:t>
      </w:r>
      <w:r w:rsidRPr="0065736C">
        <w:rPr>
          <w:rFonts w:ascii="Arial" w:hAnsi="Arial" w:cs="Arial"/>
          <w:iCs/>
          <w:sz w:val="18"/>
          <w:szCs w:val="18"/>
        </w:rPr>
        <w:lastRenderedPageBreak/>
        <w:t>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6C374B35" w14:textId="77777777" w:rsidR="008D228C" w:rsidRDefault="008D228C" w:rsidP="008D228C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204D1748" w14:textId="77777777" w:rsidR="008D228C" w:rsidRDefault="008D228C" w:rsidP="008D228C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4882F5B4" w14:textId="77777777" w:rsidR="008D228C" w:rsidRPr="0014385C" w:rsidRDefault="008D228C" w:rsidP="008D228C">
      <w:pPr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14385C">
        <w:rPr>
          <w:rFonts w:ascii="Arial" w:eastAsia="SimSun" w:hAnsi="Arial" w:cs="Arial"/>
          <w:sz w:val="18"/>
          <w:szCs w:val="18"/>
          <w:lang w:val="es-ES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2024 generó ingresos por ventas de 4,7 mil millones de euros. El Grupo tiene más de 20.000 empleados y 139 delegaciones en 33 países. A fecha 1 de enero de 2025 las antiguas divisiones de Paint and Final Assembly Systems y Application Technology se fusionaron para formar la nueva división de Automotive. Desde entonces el Grupo Dürr ha operado en el mercado con 4 divisiones:</w:t>
      </w:r>
    </w:p>
    <w:p w14:paraId="6318DE58" w14:textId="77777777" w:rsidR="008D228C" w:rsidRPr="0014385C" w:rsidRDefault="008D228C" w:rsidP="008D228C">
      <w:pPr>
        <w:pStyle w:val="Listenabsatz"/>
        <w:numPr>
          <w:ilvl w:val="0"/>
          <w:numId w:val="23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  <w:lang w:val="es-ES"/>
        </w:rPr>
      </w:pPr>
      <w:r w:rsidRPr="0014385C">
        <w:rPr>
          <w:rFonts w:ascii="Arial" w:eastAsia="SimSun" w:hAnsi="Arial" w:cs="Arial"/>
          <w:b/>
          <w:bCs/>
          <w:sz w:val="18"/>
          <w:szCs w:val="18"/>
          <w:lang w:val="es-ES"/>
        </w:rPr>
        <w:t>Automotive:</w:t>
      </w:r>
      <w:r w:rsidRPr="0014385C">
        <w:rPr>
          <w:rFonts w:ascii="Arial" w:eastAsia="SimSun" w:hAnsi="Arial" w:cs="Arial"/>
          <w:sz w:val="18"/>
          <w:szCs w:val="18"/>
          <w:lang w:val="es-ES"/>
        </w:rPr>
        <w:t xml:space="preserve"> Tecnología de aplicación de pintura y de ensamblaje final, así como tecnología de pruebas y llenado</w:t>
      </w:r>
    </w:p>
    <w:p w14:paraId="4C16BBA5" w14:textId="77777777" w:rsidR="008D228C" w:rsidRPr="0014385C" w:rsidRDefault="008D228C" w:rsidP="008D228C">
      <w:pPr>
        <w:pStyle w:val="Listenabsatz"/>
        <w:numPr>
          <w:ilvl w:val="0"/>
          <w:numId w:val="22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  <w:lang w:val="es-ES"/>
        </w:rPr>
      </w:pPr>
      <w:r w:rsidRPr="0014385C">
        <w:rPr>
          <w:rFonts w:ascii="Arial" w:eastAsia="SimSun" w:hAnsi="Arial" w:cs="Arial"/>
          <w:b/>
          <w:bCs/>
          <w:sz w:val="18"/>
          <w:szCs w:val="18"/>
          <w:lang w:val="es-ES"/>
        </w:rPr>
        <w:t>Industrial Automation:</w:t>
      </w:r>
      <w:r w:rsidRPr="0014385C">
        <w:rPr>
          <w:rFonts w:ascii="Arial" w:eastAsia="SimSun" w:hAnsi="Arial" w:cs="Arial"/>
          <w:sz w:val="18"/>
          <w:szCs w:val="18"/>
          <w:lang w:val="es-ES"/>
        </w:rPr>
        <w:t xml:space="preserve"> Sistemas automatizados de ensamblaje y pruebas para componentes automotrices, dispositivos médicos y bienes de consumo, así como tecnología de equilibrado y líneas de recubrimiento de baterías</w:t>
      </w:r>
    </w:p>
    <w:p w14:paraId="1F299571" w14:textId="77777777" w:rsidR="008D228C" w:rsidRPr="0014385C" w:rsidRDefault="008D228C" w:rsidP="008D228C">
      <w:pPr>
        <w:pStyle w:val="Listenabsatz"/>
        <w:numPr>
          <w:ilvl w:val="0"/>
          <w:numId w:val="22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  <w:lang w:val="es-ES"/>
        </w:rPr>
      </w:pPr>
      <w:r w:rsidRPr="0014385C">
        <w:rPr>
          <w:rFonts w:ascii="Arial" w:eastAsia="SimSun" w:hAnsi="Arial" w:cs="Arial"/>
          <w:b/>
          <w:bCs/>
          <w:sz w:val="18"/>
          <w:szCs w:val="18"/>
          <w:lang w:val="es-ES"/>
        </w:rPr>
        <w:t>Woodworking:</w:t>
      </w:r>
      <w:r w:rsidRPr="0014385C">
        <w:rPr>
          <w:rFonts w:ascii="Arial" w:eastAsia="SimSun" w:hAnsi="Arial" w:cs="Arial"/>
          <w:sz w:val="18"/>
          <w:szCs w:val="18"/>
          <w:lang w:val="es-ES"/>
        </w:rPr>
        <w:t xml:space="preserve"> Maquinas y sistemas para la industria de transformación de la madera</w:t>
      </w:r>
    </w:p>
    <w:p w14:paraId="1956C421" w14:textId="77777777" w:rsidR="008D228C" w:rsidRPr="0014385C" w:rsidRDefault="008D228C" w:rsidP="008D228C">
      <w:pPr>
        <w:pStyle w:val="Listenabsatz"/>
        <w:numPr>
          <w:ilvl w:val="0"/>
          <w:numId w:val="22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  <w:lang w:val="es-ES"/>
        </w:rPr>
      </w:pPr>
      <w:r w:rsidRPr="00EB3A46">
        <w:rPr>
          <w:rStyle w:val="normaltextrun"/>
          <w:rFonts w:ascii="Arial" w:hAnsi="Arial" w:cs="Arial"/>
          <w:b/>
          <w:sz w:val="18"/>
          <w:szCs w:val="18"/>
          <w:lang w:val="pt-PT"/>
        </w:rPr>
        <w:t>Clean Technology Systems Environmental</w:t>
      </w:r>
      <w:r w:rsidRPr="0014385C">
        <w:rPr>
          <w:rFonts w:ascii="Arial" w:eastAsia="SimSun" w:hAnsi="Arial" w:cs="Arial"/>
          <w:b/>
          <w:bCs/>
          <w:sz w:val="18"/>
          <w:szCs w:val="18"/>
          <w:lang w:val="es-ES"/>
        </w:rPr>
        <w:t>:</w:t>
      </w:r>
      <w:r w:rsidRPr="0014385C">
        <w:rPr>
          <w:rFonts w:ascii="Arial" w:eastAsia="SimSun" w:hAnsi="Arial" w:cs="Arial"/>
          <w:sz w:val="18"/>
          <w:szCs w:val="18"/>
          <w:lang w:val="es-ES"/>
        </w:rPr>
        <w:t xml:space="preserve"> Sistemas de purificación para extracción del aire y sistemas de reducción de ruido</w:t>
      </w:r>
    </w:p>
    <w:p w14:paraId="30AEE2AE" w14:textId="77777777" w:rsidR="008D228C" w:rsidRDefault="008D228C" w:rsidP="008D228C">
      <w:pPr>
        <w:spacing w:line="240" w:lineRule="auto"/>
        <w:rPr>
          <w:rStyle w:val="Fettung"/>
          <w:b w:val="0"/>
          <w:bCs/>
          <w:sz w:val="17"/>
          <w:szCs w:val="17"/>
          <w:lang w:val="es-ES"/>
        </w:rPr>
      </w:pPr>
    </w:p>
    <w:p w14:paraId="403B0BFF" w14:textId="77777777" w:rsidR="008D228C" w:rsidRDefault="008D228C" w:rsidP="008D228C">
      <w:pPr>
        <w:spacing w:line="240" w:lineRule="auto"/>
        <w:rPr>
          <w:rStyle w:val="Fettung"/>
          <w:b w:val="0"/>
          <w:bCs/>
          <w:sz w:val="17"/>
          <w:szCs w:val="17"/>
          <w:lang w:val="es-ES"/>
        </w:rPr>
      </w:pPr>
    </w:p>
    <w:p w14:paraId="344806DC" w14:textId="77777777" w:rsidR="008D228C" w:rsidRPr="0065736C" w:rsidRDefault="008D228C" w:rsidP="008D228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4A3BFBDD" w14:textId="77777777" w:rsidR="008D228C" w:rsidRPr="0065736C" w:rsidRDefault="008D228C" w:rsidP="008D228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7A3A343C" w14:textId="77777777" w:rsidR="008D228C" w:rsidRPr="0065736C" w:rsidRDefault="008D228C" w:rsidP="008D228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25F2D1AB" w14:textId="77777777" w:rsidR="008D228C" w:rsidRPr="0065736C" w:rsidRDefault="008D228C" w:rsidP="008D228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Aleph Comunicación – Jesus Martinez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6F6247F0" w14:textId="77777777" w:rsidR="008D228C" w:rsidRPr="0065736C" w:rsidRDefault="008D228C" w:rsidP="008D228C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hyperlink r:id="rId14" w:tgtFrame="_blank" w:history="1">
        <w:r w:rsidRPr="0065736C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en-US"/>
          </w:rPr>
          <w:t>jesus.martinez@alephcom.es</w:t>
        </w:r>
      </w:hyperlink>
      <w:r w:rsidRPr="0065736C">
        <w:rPr>
          <w:rStyle w:val="eop"/>
          <w:rFonts w:ascii="Arial" w:hAnsi="Arial" w:cs="Arial"/>
          <w:color w:val="00468E"/>
          <w:sz w:val="18"/>
          <w:szCs w:val="18"/>
          <w:lang w:val="en-US"/>
        </w:rPr>
        <w:t> </w:t>
      </w:r>
    </w:p>
    <w:p w14:paraId="286EB295" w14:textId="77777777" w:rsidR="008D228C" w:rsidRPr="0065736C" w:rsidRDefault="008D228C" w:rsidP="008D228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65736C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39C5C34A" w14:textId="77777777" w:rsidR="008D228C" w:rsidRPr="0065736C" w:rsidRDefault="008D228C" w:rsidP="008D228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65736C">
        <w:rPr>
          <w:rStyle w:val="normaltextrun"/>
          <w:rFonts w:ascii="Arial" w:hAnsi="Arial" w:cs="Arial"/>
          <w:sz w:val="18"/>
          <w:szCs w:val="18"/>
          <w:lang w:val="en-US"/>
        </w:rPr>
        <w:t xml:space="preserve">Dürr Systems Spain, S.A. - </w:t>
      </w:r>
      <w:hyperlink r:id="rId15" w:tgtFrame="_blank" w:history="1">
        <w:r w:rsidRPr="0065736C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en-US"/>
          </w:rPr>
          <w:t>www.durr.com</w:t>
        </w:r>
      </w:hyperlink>
      <w:r w:rsidRPr="0065736C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72E1BA75" w14:textId="77777777" w:rsidR="008D228C" w:rsidRPr="00246254" w:rsidRDefault="008D228C" w:rsidP="008D228C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>Luis Echeveste</w:t>
      </w:r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58BB0CC5" w14:textId="77777777" w:rsidR="008D228C" w:rsidRPr="00246254" w:rsidRDefault="008D228C" w:rsidP="008D228C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>Teléfono: +34 943 317 000</w:t>
      </w:r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1AE5BB8F" w14:textId="77777777" w:rsidR="008D228C" w:rsidRPr="00246254" w:rsidRDefault="008D228C" w:rsidP="008D228C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hyperlink r:id="rId16" w:tgtFrame="_blank" w:history="1">
        <w:r w:rsidRPr="00246254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fr-FR"/>
          </w:rPr>
          <w:t>echeveste@durr-spain.com</w:t>
        </w:r>
      </w:hyperlink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7A591631" w14:textId="77777777" w:rsidR="008D228C" w:rsidRPr="00246254" w:rsidRDefault="008D228C" w:rsidP="008D228C">
      <w:pPr>
        <w:pStyle w:val="Abbildung"/>
        <w:rPr>
          <w:rStyle w:val="normaltextrun"/>
          <w:rFonts w:ascii="Arial" w:eastAsia="Calibri" w:hAnsi="Arial" w:cs="Arial"/>
          <w:b/>
          <w:bCs/>
          <w:sz w:val="18"/>
          <w:szCs w:val="18"/>
          <w:lang w:val="fr-FR"/>
        </w:rPr>
      </w:pPr>
    </w:p>
    <w:p w14:paraId="46B54D50" w14:textId="77777777" w:rsidR="008D228C" w:rsidRPr="00D30E86" w:rsidRDefault="008D228C" w:rsidP="008D228C">
      <w:pPr>
        <w:spacing w:line="240" w:lineRule="auto"/>
        <w:rPr>
          <w:rStyle w:val="Fettung"/>
          <w:b w:val="0"/>
          <w:bCs/>
          <w:sz w:val="17"/>
          <w:szCs w:val="17"/>
          <w:lang w:val="es-ES"/>
        </w:rPr>
      </w:pPr>
    </w:p>
    <w:p w14:paraId="077E3CD1" w14:textId="77777777" w:rsidR="00FC4489" w:rsidRPr="00836314" w:rsidRDefault="00FC4489" w:rsidP="00FC4489">
      <w:pPr>
        <w:pStyle w:val="Flietext"/>
        <w:rPr>
          <w:rFonts w:ascii="Arial" w:hAnsi="Arial" w:cs="Arial"/>
          <w:b/>
          <w:iCs/>
          <w:sz w:val="17"/>
          <w:szCs w:val="17"/>
          <w:lang w:val="es-ES"/>
        </w:rPr>
      </w:pPr>
    </w:p>
    <w:bookmarkEnd w:id="0"/>
    <w:sectPr w:rsidR="00FC4489" w:rsidRPr="00836314" w:rsidSect="00B143F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CB5B8" w14:textId="77777777" w:rsidR="00F143CC" w:rsidRDefault="00F143CC" w:rsidP="00D9165E">
      <w:r>
        <w:separator/>
      </w:r>
    </w:p>
  </w:endnote>
  <w:endnote w:type="continuationSeparator" w:id="0">
    <w:p w14:paraId="66FA6D8E" w14:textId="77777777" w:rsidR="00F143CC" w:rsidRDefault="00F143CC" w:rsidP="00D9165E">
      <w:r>
        <w:continuationSeparator/>
      </w:r>
    </w:p>
  </w:endnote>
  <w:endnote w:type="continuationNotice" w:id="1">
    <w:p w14:paraId="1BA9496C" w14:textId="77777777" w:rsidR="00F143CC" w:rsidRDefault="00F143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Fuzeile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4FA940D6" w:rsidR="00B143FE" w:rsidRPr="00FA5FBE" w:rsidRDefault="00960D2E" w:rsidP="00FA5FBE">
    <w:pPr>
      <w:pStyle w:val="Kopfzeile"/>
    </w:pPr>
    <w:r>
      <mc:AlternateContent>
        <mc:Choice Requires="wps">
          <w:drawing>
            <wp:anchor distT="0" distB="0" distL="0" distR="0" simplePos="0" relativeHeight="251658247" behindDoc="0" locked="0" layoutInCell="1" allowOverlap="1" wp14:anchorId="30BE8750" wp14:editId="1847B83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4F9D7" w14:textId="2E81788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BE875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DD4F9D7" w14:textId="2E81788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 NUMPAGES  \* MERGEFORMAT ">
      <w:r w:rsidR="00E758F3">
        <w:instrText>4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E758F3">
      <w:instrText>3</w:instrText>
    </w:r>
    <w:r w:rsidR="00FA5FBE" w:rsidRPr="005218C8">
      <w:fldChar w:fldCharType="end"/>
    </w:r>
    <w:r w:rsidR="00FA5FBE" w:rsidRPr="005218C8">
      <w:instrText>/</w:instrText>
    </w:r>
    <w:fldSimple w:instr=" NUMPAGES  \* MERGEFORMAT ">
      <w:r w:rsidR="00E758F3">
        <w:instrText>4</w:instrText>
      </w:r>
    </w:fldSimple>
    <w:r w:rsidR="00FA5FBE" w:rsidRPr="005218C8">
      <w:instrText>" "</w:instrText>
    </w:r>
    <w:r w:rsidR="00FA5FBE" w:rsidRPr="005218C8">
      <w:fldChar w:fldCharType="separate"/>
    </w:r>
    <w:r w:rsidR="00E758F3">
      <w:t>3</w:t>
    </w:r>
    <w:r w:rsidR="00E758F3" w:rsidRPr="005218C8">
      <w:t>/</w:t>
    </w:r>
    <w:r w:rsidR="00E758F3">
      <w:t>4</w:t>
    </w:r>
    <w:r w:rsidR="00FA5FBE"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4C3A64E0" w:rsidR="00B143FE" w:rsidRPr="005218C8" w:rsidRDefault="00960D2E" w:rsidP="00EB19AD">
    <w:pPr>
      <w:pStyle w:val="Kopf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C9600" wp14:editId="0530C1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1F7F7" w14:textId="4C128A2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C96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2381F7F7" w14:textId="4C128A2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 NUMPAGES  \* MERGEFORMAT ">
      <w:r w:rsidR="00E758F3">
        <w:instrText>4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E758F3">
      <w:instrText>1</w:instrText>
    </w:r>
    <w:r w:rsidR="00B143FE" w:rsidRPr="005218C8">
      <w:fldChar w:fldCharType="end"/>
    </w:r>
    <w:r w:rsidR="00B143FE" w:rsidRPr="005218C8">
      <w:instrText>/</w:instrText>
    </w:r>
    <w:fldSimple w:instr=" NUMPAGES  \* MERGEFORMAT ">
      <w:r w:rsidR="00E758F3">
        <w:instrText>4</w:instrText>
      </w:r>
    </w:fldSimple>
    <w:r w:rsidR="00B143FE" w:rsidRPr="005218C8">
      <w:instrText>" "</w:instrText>
    </w:r>
    <w:r w:rsidR="00B143FE" w:rsidRPr="005218C8">
      <w:fldChar w:fldCharType="separate"/>
    </w:r>
    <w:r w:rsidR="00E758F3">
      <w:t>1</w:t>
    </w:r>
    <w:r w:rsidR="00E758F3" w:rsidRPr="005218C8">
      <w:t>/</w:t>
    </w:r>
    <w:r w:rsidR="00E758F3">
      <w:t>4</w:t>
    </w:r>
    <w:r w:rsidR="00B143FE"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421B" w14:textId="77777777" w:rsidR="00F143CC" w:rsidRDefault="00F143CC" w:rsidP="00D9165E">
      <w:r>
        <w:separator/>
      </w:r>
    </w:p>
  </w:footnote>
  <w:footnote w:type="continuationSeparator" w:id="0">
    <w:p w14:paraId="4E7C8860" w14:textId="77777777" w:rsidR="00F143CC" w:rsidRDefault="00F143CC" w:rsidP="00D9165E">
      <w:r>
        <w:continuationSeparator/>
      </w:r>
    </w:p>
  </w:footnote>
  <w:footnote w:type="continuationNotice" w:id="1">
    <w:p w14:paraId="07B94B6E" w14:textId="77777777" w:rsidR="00F143CC" w:rsidRDefault="00F143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836314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36314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836314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B1841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B6604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AB184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836314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36314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836314">
                      <w:rPr>
                        <w:lang w:val="de-DE"/>
                      </w:rPr>
                      <w:t xml:space="preserve">Carl-Benz-Str. </w:t>
                    </w:r>
                    <w:r w:rsidRPr="00AB1841">
                      <w:rPr>
                        <w:lang w:val="nl-NL"/>
                      </w:rPr>
                      <w:t>34</w:t>
                    </w:r>
                  </w:p>
                  <w:p w14:paraId="1024546A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B6604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AB184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836314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36314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AB184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836314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AB1841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AB184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AB184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AB1841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AB184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B6604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AB184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AB1841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836314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36314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AB184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836314">
                      <w:rPr>
                        <w:lang w:val="de-DE"/>
                      </w:rPr>
                      <w:t xml:space="preserve">Carl-Benz-Str. </w:t>
                    </w:r>
                    <w:r w:rsidRPr="00AB1841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AB184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AB184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AB1841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AB184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B6604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AB184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AB1841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D3E0EFA"/>
    <w:multiLevelType w:val="hybridMultilevel"/>
    <w:tmpl w:val="6DCCBD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9507862">
    <w:abstractNumId w:val="3"/>
  </w:num>
  <w:num w:numId="2" w16cid:durableId="1451195781">
    <w:abstractNumId w:val="18"/>
  </w:num>
  <w:num w:numId="3" w16cid:durableId="604381535">
    <w:abstractNumId w:val="6"/>
  </w:num>
  <w:num w:numId="4" w16cid:durableId="1505129825">
    <w:abstractNumId w:val="9"/>
  </w:num>
  <w:num w:numId="5" w16cid:durableId="1197113076">
    <w:abstractNumId w:val="15"/>
  </w:num>
  <w:num w:numId="6" w16cid:durableId="380329923">
    <w:abstractNumId w:val="1"/>
  </w:num>
  <w:num w:numId="7" w16cid:durableId="286205499">
    <w:abstractNumId w:val="22"/>
  </w:num>
  <w:num w:numId="8" w16cid:durableId="437601273">
    <w:abstractNumId w:val="8"/>
  </w:num>
  <w:num w:numId="9" w16cid:durableId="557060033">
    <w:abstractNumId w:val="20"/>
  </w:num>
  <w:num w:numId="10" w16cid:durableId="355233797">
    <w:abstractNumId w:val="7"/>
  </w:num>
  <w:num w:numId="11" w16cid:durableId="554857958">
    <w:abstractNumId w:val="0"/>
  </w:num>
  <w:num w:numId="12" w16cid:durableId="943803400">
    <w:abstractNumId w:val="4"/>
  </w:num>
  <w:num w:numId="13" w16cid:durableId="1435394626">
    <w:abstractNumId w:val="11"/>
  </w:num>
  <w:num w:numId="14" w16cid:durableId="1679847083">
    <w:abstractNumId w:val="13"/>
  </w:num>
  <w:num w:numId="15" w16cid:durableId="1760132152">
    <w:abstractNumId w:val="17"/>
  </w:num>
  <w:num w:numId="16" w16cid:durableId="1677607286">
    <w:abstractNumId w:val="16"/>
  </w:num>
  <w:num w:numId="17" w16cid:durableId="1998028467">
    <w:abstractNumId w:val="12"/>
  </w:num>
  <w:num w:numId="18" w16cid:durableId="581453666">
    <w:abstractNumId w:val="10"/>
  </w:num>
  <w:num w:numId="19" w16cid:durableId="2092962448">
    <w:abstractNumId w:val="14"/>
  </w:num>
  <w:num w:numId="20" w16cid:durableId="1653677802">
    <w:abstractNumId w:val="19"/>
  </w:num>
  <w:num w:numId="21" w16cid:durableId="624626635">
    <w:abstractNumId w:val="2"/>
  </w:num>
  <w:num w:numId="22" w16cid:durableId="358161323">
    <w:abstractNumId w:val="5"/>
  </w:num>
  <w:num w:numId="23" w16cid:durableId="1449083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0F81"/>
    <w:rsid w:val="000114BE"/>
    <w:rsid w:val="000137F9"/>
    <w:rsid w:val="00013B23"/>
    <w:rsid w:val="00015F92"/>
    <w:rsid w:val="0002273A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36AB"/>
    <w:rsid w:val="000557D8"/>
    <w:rsid w:val="00056AE4"/>
    <w:rsid w:val="00062BC6"/>
    <w:rsid w:val="00062C8E"/>
    <w:rsid w:val="00064547"/>
    <w:rsid w:val="000663A1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620C"/>
    <w:rsid w:val="000B6E58"/>
    <w:rsid w:val="000C009A"/>
    <w:rsid w:val="000C2A85"/>
    <w:rsid w:val="000C3716"/>
    <w:rsid w:val="000C3AF3"/>
    <w:rsid w:val="000C52D5"/>
    <w:rsid w:val="000C74C8"/>
    <w:rsid w:val="000C7902"/>
    <w:rsid w:val="000D1867"/>
    <w:rsid w:val="000D4047"/>
    <w:rsid w:val="000E5EC2"/>
    <w:rsid w:val="000F018B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0F65"/>
    <w:rsid w:val="00135319"/>
    <w:rsid w:val="00142FDB"/>
    <w:rsid w:val="001440F5"/>
    <w:rsid w:val="001462F2"/>
    <w:rsid w:val="00147965"/>
    <w:rsid w:val="0015096A"/>
    <w:rsid w:val="00151506"/>
    <w:rsid w:val="00156161"/>
    <w:rsid w:val="001612F6"/>
    <w:rsid w:val="0016271C"/>
    <w:rsid w:val="00162EEF"/>
    <w:rsid w:val="0016325F"/>
    <w:rsid w:val="00163B9D"/>
    <w:rsid w:val="00165942"/>
    <w:rsid w:val="001719A4"/>
    <w:rsid w:val="00176D8A"/>
    <w:rsid w:val="00180D0F"/>
    <w:rsid w:val="00184A81"/>
    <w:rsid w:val="001877A6"/>
    <w:rsid w:val="00189712"/>
    <w:rsid w:val="001935AE"/>
    <w:rsid w:val="00194AC6"/>
    <w:rsid w:val="00197009"/>
    <w:rsid w:val="001975A2"/>
    <w:rsid w:val="00197E71"/>
    <w:rsid w:val="001A0E16"/>
    <w:rsid w:val="001A297C"/>
    <w:rsid w:val="001A5B15"/>
    <w:rsid w:val="001A65EE"/>
    <w:rsid w:val="001C0A26"/>
    <w:rsid w:val="001C0A39"/>
    <w:rsid w:val="001C179C"/>
    <w:rsid w:val="001C5EB3"/>
    <w:rsid w:val="001D0887"/>
    <w:rsid w:val="001D0F2E"/>
    <w:rsid w:val="001D697E"/>
    <w:rsid w:val="001D776F"/>
    <w:rsid w:val="001E0E46"/>
    <w:rsid w:val="001E33EC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2C8D9"/>
    <w:rsid w:val="00231A54"/>
    <w:rsid w:val="0023563A"/>
    <w:rsid w:val="00243F9B"/>
    <w:rsid w:val="0024430E"/>
    <w:rsid w:val="00244EA9"/>
    <w:rsid w:val="00252189"/>
    <w:rsid w:val="0025441C"/>
    <w:rsid w:val="0025488D"/>
    <w:rsid w:val="0025722B"/>
    <w:rsid w:val="0026127D"/>
    <w:rsid w:val="002655A1"/>
    <w:rsid w:val="00266A03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5199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E5C8A"/>
    <w:rsid w:val="002F5D3E"/>
    <w:rsid w:val="002F6BF1"/>
    <w:rsid w:val="002F7140"/>
    <w:rsid w:val="0030067C"/>
    <w:rsid w:val="0030264E"/>
    <w:rsid w:val="00302DB1"/>
    <w:rsid w:val="003035A6"/>
    <w:rsid w:val="00304BA2"/>
    <w:rsid w:val="003144DB"/>
    <w:rsid w:val="00326181"/>
    <w:rsid w:val="00330683"/>
    <w:rsid w:val="00333CF4"/>
    <w:rsid w:val="00335617"/>
    <w:rsid w:val="0033769D"/>
    <w:rsid w:val="00337B86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1514"/>
    <w:rsid w:val="00373E56"/>
    <w:rsid w:val="00375576"/>
    <w:rsid w:val="00375D1A"/>
    <w:rsid w:val="00376EDD"/>
    <w:rsid w:val="003849ED"/>
    <w:rsid w:val="0039367F"/>
    <w:rsid w:val="00395574"/>
    <w:rsid w:val="0039654F"/>
    <w:rsid w:val="0039780E"/>
    <w:rsid w:val="003A046C"/>
    <w:rsid w:val="003A0566"/>
    <w:rsid w:val="003A20AD"/>
    <w:rsid w:val="003A2989"/>
    <w:rsid w:val="003A692D"/>
    <w:rsid w:val="003B0692"/>
    <w:rsid w:val="003B160B"/>
    <w:rsid w:val="003B1684"/>
    <w:rsid w:val="003B667D"/>
    <w:rsid w:val="003C492A"/>
    <w:rsid w:val="003C554F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3F3086"/>
    <w:rsid w:val="003F7672"/>
    <w:rsid w:val="00402949"/>
    <w:rsid w:val="00402AD2"/>
    <w:rsid w:val="0040381F"/>
    <w:rsid w:val="00404174"/>
    <w:rsid w:val="0040719C"/>
    <w:rsid w:val="0040784F"/>
    <w:rsid w:val="00407CD3"/>
    <w:rsid w:val="00424A3C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57F98"/>
    <w:rsid w:val="004606AC"/>
    <w:rsid w:val="0046201D"/>
    <w:rsid w:val="0046239C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6F5D"/>
    <w:rsid w:val="00494EE7"/>
    <w:rsid w:val="004A3A5F"/>
    <w:rsid w:val="004B36EB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37C"/>
    <w:rsid w:val="005365B4"/>
    <w:rsid w:val="00542E94"/>
    <w:rsid w:val="0054450D"/>
    <w:rsid w:val="0055074F"/>
    <w:rsid w:val="00554864"/>
    <w:rsid w:val="00554DD1"/>
    <w:rsid w:val="00555999"/>
    <w:rsid w:val="00555E2A"/>
    <w:rsid w:val="005613BB"/>
    <w:rsid w:val="00564109"/>
    <w:rsid w:val="005673B5"/>
    <w:rsid w:val="005674E8"/>
    <w:rsid w:val="00573D57"/>
    <w:rsid w:val="005755BD"/>
    <w:rsid w:val="00577252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2394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43CC"/>
    <w:rsid w:val="0066573F"/>
    <w:rsid w:val="006673F5"/>
    <w:rsid w:val="00667B54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C6E75"/>
    <w:rsid w:val="006D4D2C"/>
    <w:rsid w:val="006D6C1A"/>
    <w:rsid w:val="006D7632"/>
    <w:rsid w:val="006D7B09"/>
    <w:rsid w:val="006D7F10"/>
    <w:rsid w:val="006E0851"/>
    <w:rsid w:val="006E2573"/>
    <w:rsid w:val="006E5C09"/>
    <w:rsid w:val="006E717A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2C9"/>
    <w:rsid w:val="00716622"/>
    <w:rsid w:val="00720139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C0C38"/>
    <w:rsid w:val="007C1F06"/>
    <w:rsid w:val="007C1FA4"/>
    <w:rsid w:val="007C2A64"/>
    <w:rsid w:val="007C360E"/>
    <w:rsid w:val="007C4752"/>
    <w:rsid w:val="007C6FA7"/>
    <w:rsid w:val="007C726C"/>
    <w:rsid w:val="007C7E8E"/>
    <w:rsid w:val="007D089E"/>
    <w:rsid w:val="007D1C32"/>
    <w:rsid w:val="007D220B"/>
    <w:rsid w:val="007D439C"/>
    <w:rsid w:val="007D49EB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07CBE"/>
    <w:rsid w:val="00814018"/>
    <w:rsid w:val="00814940"/>
    <w:rsid w:val="00816302"/>
    <w:rsid w:val="00817EDB"/>
    <w:rsid w:val="00820576"/>
    <w:rsid w:val="00821292"/>
    <w:rsid w:val="00825029"/>
    <w:rsid w:val="008251A3"/>
    <w:rsid w:val="00826567"/>
    <w:rsid w:val="00826C30"/>
    <w:rsid w:val="00827948"/>
    <w:rsid w:val="00834D0F"/>
    <w:rsid w:val="00836314"/>
    <w:rsid w:val="0084627F"/>
    <w:rsid w:val="0085354B"/>
    <w:rsid w:val="0085432F"/>
    <w:rsid w:val="00857E8E"/>
    <w:rsid w:val="008649EE"/>
    <w:rsid w:val="00866CA8"/>
    <w:rsid w:val="0087226A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48EB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C17D2"/>
    <w:rsid w:val="008C343A"/>
    <w:rsid w:val="008C4110"/>
    <w:rsid w:val="008C5157"/>
    <w:rsid w:val="008C7F2C"/>
    <w:rsid w:val="008D0426"/>
    <w:rsid w:val="008D228C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57F08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463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2DBA"/>
    <w:rsid w:val="009D5D03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5740D"/>
    <w:rsid w:val="00A61FF5"/>
    <w:rsid w:val="00A624FA"/>
    <w:rsid w:val="00A6304F"/>
    <w:rsid w:val="00A65AE5"/>
    <w:rsid w:val="00A70A5F"/>
    <w:rsid w:val="00A72B8E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841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3753"/>
    <w:rsid w:val="00AD7E8E"/>
    <w:rsid w:val="00AE0CC8"/>
    <w:rsid w:val="00AE0FC0"/>
    <w:rsid w:val="00AE447F"/>
    <w:rsid w:val="00AE5481"/>
    <w:rsid w:val="00AE5695"/>
    <w:rsid w:val="00AE6604"/>
    <w:rsid w:val="00AF13BD"/>
    <w:rsid w:val="00AF4F8B"/>
    <w:rsid w:val="00AF50E0"/>
    <w:rsid w:val="00AF5371"/>
    <w:rsid w:val="00B030B8"/>
    <w:rsid w:val="00B117C4"/>
    <w:rsid w:val="00B12012"/>
    <w:rsid w:val="00B143FE"/>
    <w:rsid w:val="00B14642"/>
    <w:rsid w:val="00B1483F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084"/>
    <w:rsid w:val="00B52C33"/>
    <w:rsid w:val="00B57C05"/>
    <w:rsid w:val="00B60D1B"/>
    <w:rsid w:val="00B61893"/>
    <w:rsid w:val="00B639BB"/>
    <w:rsid w:val="00B63B39"/>
    <w:rsid w:val="00B66048"/>
    <w:rsid w:val="00B67227"/>
    <w:rsid w:val="00B67ADF"/>
    <w:rsid w:val="00B710EC"/>
    <w:rsid w:val="00B74EEC"/>
    <w:rsid w:val="00B75BE3"/>
    <w:rsid w:val="00B76AC4"/>
    <w:rsid w:val="00B779F2"/>
    <w:rsid w:val="00B77DFE"/>
    <w:rsid w:val="00B827AD"/>
    <w:rsid w:val="00B8534D"/>
    <w:rsid w:val="00B85361"/>
    <w:rsid w:val="00B90801"/>
    <w:rsid w:val="00B9307F"/>
    <w:rsid w:val="00B95A5D"/>
    <w:rsid w:val="00B965A1"/>
    <w:rsid w:val="00B966C9"/>
    <w:rsid w:val="00BA105F"/>
    <w:rsid w:val="00BA32BD"/>
    <w:rsid w:val="00BA37D6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4A93"/>
    <w:rsid w:val="00CD5D15"/>
    <w:rsid w:val="00CD6F05"/>
    <w:rsid w:val="00CE04CF"/>
    <w:rsid w:val="00CE68CF"/>
    <w:rsid w:val="00CE71C0"/>
    <w:rsid w:val="00CF25A9"/>
    <w:rsid w:val="00CF34DB"/>
    <w:rsid w:val="00CF5472"/>
    <w:rsid w:val="00CF5FAF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27AD2"/>
    <w:rsid w:val="00D30A5B"/>
    <w:rsid w:val="00D31E8B"/>
    <w:rsid w:val="00D34986"/>
    <w:rsid w:val="00D36FC5"/>
    <w:rsid w:val="00D4098D"/>
    <w:rsid w:val="00D44B55"/>
    <w:rsid w:val="00D4535E"/>
    <w:rsid w:val="00D45CE9"/>
    <w:rsid w:val="00D51AA6"/>
    <w:rsid w:val="00D55434"/>
    <w:rsid w:val="00D6104D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94578"/>
    <w:rsid w:val="00DB1452"/>
    <w:rsid w:val="00DB74F9"/>
    <w:rsid w:val="00DC0A6C"/>
    <w:rsid w:val="00DC2B8B"/>
    <w:rsid w:val="00DC2C62"/>
    <w:rsid w:val="00DC443F"/>
    <w:rsid w:val="00DC4A8F"/>
    <w:rsid w:val="00DC545B"/>
    <w:rsid w:val="00DC6935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EE1BC"/>
    <w:rsid w:val="00DF17A5"/>
    <w:rsid w:val="00DF1A6E"/>
    <w:rsid w:val="00DF5A64"/>
    <w:rsid w:val="00DF6C27"/>
    <w:rsid w:val="00E00045"/>
    <w:rsid w:val="00E0085E"/>
    <w:rsid w:val="00E00C76"/>
    <w:rsid w:val="00E06223"/>
    <w:rsid w:val="00E10E38"/>
    <w:rsid w:val="00E10ECE"/>
    <w:rsid w:val="00E11790"/>
    <w:rsid w:val="00E11C55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34C6C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758F3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3A46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2CD2"/>
    <w:rsid w:val="00ED54C6"/>
    <w:rsid w:val="00ED6237"/>
    <w:rsid w:val="00EE01DA"/>
    <w:rsid w:val="00EE541C"/>
    <w:rsid w:val="00EE63D1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3CC"/>
    <w:rsid w:val="00F14B40"/>
    <w:rsid w:val="00F175B5"/>
    <w:rsid w:val="00F22E61"/>
    <w:rsid w:val="00F26205"/>
    <w:rsid w:val="00F26D41"/>
    <w:rsid w:val="00F3311E"/>
    <w:rsid w:val="00F34A87"/>
    <w:rsid w:val="00F35618"/>
    <w:rsid w:val="00F359EA"/>
    <w:rsid w:val="00F35DBA"/>
    <w:rsid w:val="00F42E35"/>
    <w:rsid w:val="00F43A83"/>
    <w:rsid w:val="00F43D07"/>
    <w:rsid w:val="00F44AB9"/>
    <w:rsid w:val="00F46A89"/>
    <w:rsid w:val="00F51AD6"/>
    <w:rsid w:val="00F51F2A"/>
    <w:rsid w:val="00F5300C"/>
    <w:rsid w:val="00F56988"/>
    <w:rsid w:val="00F56AF4"/>
    <w:rsid w:val="00F56BB9"/>
    <w:rsid w:val="00F6135B"/>
    <w:rsid w:val="00F63B99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7D"/>
    <w:rsid w:val="00FB0B93"/>
    <w:rsid w:val="00FB3D58"/>
    <w:rsid w:val="00FB61FB"/>
    <w:rsid w:val="00FB7BCF"/>
    <w:rsid w:val="00FC10E5"/>
    <w:rsid w:val="00FC1B67"/>
    <w:rsid w:val="00FC272A"/>
    <w:rsid w:val="00FC4489"/>
    <w:rsid w:val="00FC4DA2"/>
    <w:rsid w:val="00FC78B8"/>
    <w:rsid w:val="00FD012F"/>
    <w:rsid w:val="00FD3226"/>
    <w:rsid w:val="00FD3F17"/>
    <w:rsid w:val="00FD3FEF"/>
    <w:rsid w:val="00FD4339"/>
    <w:rsid w:val="00FD54EA"/>
    <w:rsid w:val="00FD7285"/>
    <w:rsid w:val="00FE1B1F"/>
    <w:rsid w:val="00FE2F7C"/>
    <w:rsid w:val="00FF4B64"/>
    <w:rsid w:val="00FF7E55"/>
    <w:rsid w:val="0275DA04"/>
    <w:rsid w:val="0406BC57"/>
    <w:rsid w:val="049E8C97"/>
    <w:rsid w:val="04AAB2FD"/>
    <w:rsid w:val="0C68E495"/>
    <w:rsid w:val="0E026709"/>
    <w:rsid w:val="11A42689"/>
    <w:rsid w:val="14161A76"/>
    <w:rsid w:val="16B96DEC"/>
    <w:rsid w:val="18AD9925"/>
    <w:rsid w:val="18C1D336"/>
    <w:rsid w:val="1B33A5E5"/>
    <w:rsid w:val="1C05B45F"/>
    <w:rsid w:val="1FDDC067"/>
    <w:rsid w:val="20EADE41"/>
    <w:rsid w:val="21FA4769"/>
    <w:rsid w:val="2287953A"/>
    <w:rsid w:val="24213E9C"/>
    <w:rsid w:val="245A8AFD"/>
    <w:rsid w:val="24C6D456"/>
    <w:rsid w:val="260E5854"/>
    <w:rsid w:val="26131008"/>
    <w:rsid w:val="261F0755"/>
    <w:rsid w:val="263E31A7"/>
    <w:rsid w:val="269F8655"/>
    <w:rsid w:val="27BBA579"/>
    <w:rsid w:val="28058A7E"/>
    <w:rsid w:val="28FDED5C"/>
    <w:rsid w:val="2BB7BB68"/>
    <w:rsid w:val="2D5DE4D3"/>
    <w:rsid w:val="303F0B15"/>
    <w:rsid w:val="36FD08F1"/>
    <w:rsid w:val="382A4493"/>
    <w:rsid w:val="393A0991"/>
    <w:rsid w:val="397399F8"/>
    <w:rsid w:val="3A0EA58F"/>
    <w:rsid w:val="3A44C8CA"/>
    <w:rsid w:val="3D14525B"/>
    <w:rsid w:val="3E7B1C05"/>
    <w:rsid w:val="3EE4EDA0"/>
    <w:rsid w:val="3F49CB7E"/>
    <w:rsid w:val="4079E0A3"/>
    <w:rsid w:val="42E639C4"/>
    <w:rsid w:val="44B2D648"/>
    <w:rsid w:val="458CBEF8"/>
    <w:rsid w:val="45D5DE7E"/>
    <w:rsid w:val="4615722B"/>
    <w:rsid w:val="46BA4ED6"/>
    <w:rsid w:val="48CF40F4"/>
    <w:rsid w:val="48E7A256"/>
    <w:rsid w:val="4C6DDDBC"/>
    <w:rsid w:val="4EA9DD85"/>
    <w:rsid w:val="4EE5F596"/>
    <w:rsid w:val="5094DBF5"/>
    <w:rsid w:val="539E7F73"/>
    <w:rsid w:val="560D3CAF"/>
    <w:rsid w:val="58E9DB94"/>
    <w:rsid w:val="59DC8D33"/>
    <w:rsid w:val="5B5726DE"/>
    <w:rsid w:val="5CB41EA9"/>
    <w:rsid w:val="5D83E491"/>
    <w:rsid w:val="5E12C428"/>
    <w:rsid w:val="5E71EEA7"/>
    <w:rsid w:val="5FCBC130"/>
    <w:rsid w:val="5FE5538B"/>
    <w:rsid w:val="5FFD8065"/>
    <w:rsid w:val="616AE6E7"/>
    <w:rsid w:val="6259B1F7"/>
    <w:rsid w:val="641316EA"/>
    <w:rsid w:val="65E36AD5"/>
    <w:rsid w:val="660A7761"/>
    <w:rsid w:val="66F6799D"/>
    <w:rsid w:val="6B3D20BB"/>
    <w:rsid w:val="6BFD212F"/>
    <w:rsid w:val="6C5E34C9"/>
    <w:rsid w:val="6F4D271A"/>
    <w:rsid w:val="72E88A3A"/>
    <w:rsid w:val="760F9719"/>
    <w:rsid w:val="7843C749"/>
    <w:rsid w:val="78C247EA"/>
    <w:rsid w:val="79013BCB"/>
    <w:rsid w:val="7C80E299"/>
    <w:rsid w:val="7D8C2B0D"/>
    <w:rsid w:val="7FC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B667D"/>
  </w:style>
  <w:style w:type="character" w:styleId="Kommentarzeichen">
    <w:name w:val="annotation reference"/>
    <w:basedOn w:val="Absatz-Standardschriftart"/>
    <w:uiPriority w:val="99"/>
    <w:semiHidden/>
    <w:unhideWhenUsed/>
    <w:rsid w:val="00E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berarbeitung">
    <w:name w:val="Revision"/>
    <w:hidden/>
    <w:uiPriority w:val="99"/>
    <w:semiHidden/>
    <w:rsid w:val="001E33EC"/>
    <w:rPr>
      <w:rFonts w:cs="Times New Roman (Textkörper CS)"/>
      <w:color w:val="000000"/>
      <w:sz w:val="22"/>
    </w:rPr>
  </w:style>
  <w:style w:type="character" w:customStyle="1" w:styleId="eop">
    <w:name w:val="eop"/>
    <w:basedOn w:val="Absatz-Standardschriftart"/>
    <w:rsid w:val="008D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heveste@durr-spain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esus.martinez@alephcom.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6" ma:contentTypeDescription="Crear nuevo documento." ma:contentTypeScope="" ma:versionID="b887f22d9920be0868702955fdf3e21d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d74e8a7c0a53457c4edeb9c5146378ee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  <_dlc_DocId xmlns="5b284e10-2ecb-416f-96b0-33facdc54942">UD24SA3MDTWZ-1950774054-609172</_dlc_DocId>
    <_dlc_DocIdUrl xmlns="5b284e10-2ecb-416f-96b0-33facdc54942">
      <Url>https://alephcomunic.sharepoint.com/sites/DATOS/_layouts/15/DocIdRedir.aspx?ID=UD24SA3MDTWZ-1950774054-609172</Url>
      <Description>UD24SA3MDTWZ-1950774054-609172</Description>
    </_dlc_DocIdUrl>
  </documentManagement>
</p:properties>
</file>

<file path=customXml/itemProps1.xml><?xml version="1.0" encoding="utf-8"?>
<ds:datastoreItem xmlns:ds="http://schemas.openxmlformats.org/officeDocument/2006/customXml" ds:itemID="{355E08CB-5998-4081-9A16-96232C664D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515C1D-65AB-4AAA-A7A4-6E7C8F070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550154-16AC-4FBE-8902-3BF58880E2EA}">
  <ds:schemaRefs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9684edc7-81a1-4e9e-9d45-aa521b5ebbb7"/>
    <ds:schemaRef ds:uri="b9690099-d76a-48ab-8f1a-818f9800aa0d"/>
    <ds:schemaRef ds:uri="5b284e10-2ecb-416f-96b0-33facdc54942"/>
    <ds:schemaRef ds:uri="8f8d7d8d-71c0-4cc8-bfed-94b624347c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810</Words>
  <Characters>5106</Characters>
  <Application>Microsoft Office Word</Application>
  <DocSecurity>4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Kieser, Claudius</cp:lastModifiedBy>
  <cp:revision>2</cp:revision>
  <cp:lastPrinted>2019-05-29T11:27:00Z</cp:lastPrinted>
  <dcterms:created xsi:type="dcterms:W3CDTF">2025-05-08T10:47:00Z</dcterms:created>
  <dcterms:modified xsi:type="dcterms:W3CDTF">2025-05-08T10:47:00Z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2ea8921e-aa53-4786-a5e8-befa84689ac5</vt:lpwstr>
  </property>
</Properties>
</file>